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ADEC7">
      <w:pPr>
        <w:pStyle w:val="19"/>
        <w:jc w:val="center"/>
        <w:outlineLvl w:val="1"/>
        <w:rPr>
          <w:color w:val="auto"/>
          <w:highlight w:val="none"/>
        </w:rPr>
      </w:pPr>
      <w:r>
        <w:rPr>
          <w:b/>
          <w:color w:val="auto"/>
          <w:sz w:val="36"/>
          <w:highlight w:val="none"/>
        </w:rPr>
        <w:t xml:space="preserve"> 采购需求</w:t>
      </w:r>
    </w:p>
    <w:p w14:paraId="78B4EAA4">
      <w:pPr>
        <w:pStyle w:val="19"/>
        <w:outlineLvl w:val="2"/>
        <w:rPr>
          <w:color w:val="auto"/>
          <w:highlight w:val="none"/>
        </w:rPr>
      </w:pPr>
      <w:r>
        <w:rPr>
          <w:b/>
          <w:color w:val="auto"/>
          <w:sz w:val="28"/>
          <w:highlight w:val="none"/>
        </w:rPr>
        <w:t>一、项目概况：</w:t>
      </w:r>
    </w:p>
    <w:p w14:paraId="4B8396E5">
      <w:pPr>
        <w:widowControl/>
        <w:tabs>
          <w:tab w:val="left" w:pos="424"/>
          <w:tab w:val="left" w:pos="862"/>
          <w:tab w:val="left" w:pos="3240"/>
        </w:tabs>
        <w:spacing w:line="360" w:lineRule="auto"/>
        <w:ind w:firstLine="400" w:firstLineChars="200"/>
        <w:jc w:val="left"/>
        <w:rPr>
          <w:rFonts w:hint="eastAsia" w:ascii="宋体" w:hAnsi="宋体" w:eastAsia="宋体" w:cs="宋体"/>
          <w:b/>
          <w:color w:val="auto"/>
          <w:sz w:val="20"/>
          <w:szCs w:val="20"/>
          <w:highlight w:val="none"/>
        </w:rPr>
      </w:pPr>
      <w:r>
        <w:rPr>
          <w:rFonts w:hint="eastAsia" w:ascii="宋体" w:hAnsi="宋体" w:eastAsia="宋体" w:cs="宋体"/>
          <w:color w:val="auto"/>
          <w:sz w:val="20"/>
          <w:szCs w:val="20"/>
          <w:highlight w:val="none"/>
        </w:rPr>
        <w:t>（一）本次</w:t>
      </w:r>
      <w:r>
        <w:rPr>
          <w:rFonts w:hint="eastAsia" w:ascii="宋体" w:hAnsi="宋体" w:eastAsia="宋体" w:cs="宋体"/>
          <w:color w:val="auto"/>
          <w:sz w:val="20"/>
          <w:szCs w:val="20"/>
          <w:highlight w:val="none"/>
          <w:lang w:val="en-US" w:eastAsia="zh-CN"/>
        </w:rPr>
        <w:t>采购</w:t>
      </w:r>
      <w:r>
        <w:rPr>
          <w:rFonts w:hint="eastAsia" w:ascii="宋体" w:hAnsi="宋体" w:eastAsia="宋体" w:cs="宋体"/>
          <w:color w:val="auto"/>
          <w:sz w:val="20"/>
          <w:szCs w:val="20"/>
          <w:highlight w:val="none"/>
        </w:rPr>
        <w:t>的项目及范围为：</w:t>
      </w:r>
      <w:r>
        <w:rPr>
          <w:rFonts w:hint="eastAsia" w:ascii="宋体" w:hAnsi="宋体" w:eastAsia="宋体" w:cs="宋体"/>
          <w:color w:val="auto"/>
          <w:sz w:val="20"/>
          <w:szCs w:val="20"/>
          <w:highlight w:val="none"/>
          <w:lang w:eastAsia="zh-CN"/>
        </w:rPr>
        <w:t>2025-2028阜沙镇市政绿化管养项目</w:t>
      </w:r>
      <w:r>
        <w:rPr>
          <w:rFonts w:hint="eastAsia" w:ascii="宋体" w:hAnsi="宋体" w:eastAsia="宋体" w:cs="宋体"/>
          <w:b w:val="0"/>
          <w:bCs/>
          <w:color w:val="auto"/>
          <w:sz w:val="20"/>
          <w:szCs w:val="20"/>
          <w:highlight w:val="none"/>
        </w:rPr>
        <w:t>。（具体内容及工程量以采购人提供的相关资料及</w:t>
      </w:r>
      <w:r>
        <w:rPr>
          <w:rFonts w:hint="eastAsia" w:ascii="宋体" w:hAnsi="宋体" w:eastAsia="宋体" w:cs="宋体"/>
          <w:b w:val="0"/>
          <w:bCs/>
          <w:color w:val="auto"/>
          <w:sz w:val="20"/>
          <w:szCs w:val="20"/>
          <w:highlight w:val="none"/>
          <w:lang w:val="en-US" w:eastAsia="zh-CN"/>
        </w:rPr>
        <w:t>采购需求</w:t>
      </w:r>
      <w:r>
        <w:rPr>
          <w:rFonts w:hint="eastAsia" w:ascii="宋体" w:hAnsi="宋体" w:eastAsia="宋体" w:cs="宋体"/>
          <w:b w:val="0"/>
          <w:bCs/>
          <w:color w:val="auto"/>
          <w:sz w:val="20"/>
          <w:szCs w:val="20"/>
          <w:highlight w:val="none"/>
        </w:rPr>
        <w:t>所包括的全部内容为准。）投标人必须对项目内全部内容进行投标，不允许只对项目内部分内容进行投标。</w:t>
      </w:r>
    </w:p>
    <w:p w14:paraId="1B7266F8">
      <w:pPr>
        <w:widowControl/>
        <w:spacing w:line="360" w:lineRule="auto"/>
        <w:ind w:firstLine="400" w:firstLineChars="200"/>
        <w:jc w:val="left"/>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w:t>
      </w:r>
      <w:r>
        <w:rPr>
          <w:rFonts w:hint="eastAsia" w:ascii="宋体" w:hAnsi="宋体" w:eastAsia="宋体" w:cs="宋体"/>
          <w:bCs/>
          <w:color w:val="auto"/>
          <w:sz w:val="20"/>
          <w:szCs w:val="20"/>
          <w:highlight w:val="none"/>
          <w:lang w:val="en-US" w:eastAsia="zh-CN"/>
        </w:rPr>
        <w:t>二</w:t>
      </w:r>
      <w:r>
        <w:rPr>
          <w:rFonts w:hint="eastAsia" w:ascii="宋体" w:hAnsi="宋体" w:eastAsia="宋体" w:cs="宋体"/>
          <w:bCs/>
          <w:color w:val="auto"/>
          <w:sz w:val="20"/>
          <w:szCs w:val="20"/>
          <w:highlight w:val="none"/>
        </w:rPr>
        <w:t>）</w:t>
      </w:r>
      <w:r>
        <w:rPr>
          <w:rFonts w:hint="eastAsia" w:ascii="宋体" w:hAnsi="宋体" w:eastAsia="宋体" w:cs="宋体"/>
          <w:bCs/>
          <w:color w:val="auto"/>
          <w:sz w:val="20"/>
          <w:szCs w:val="20"/>
          <w:highlight w:val="none"/>
          <w:lang w:val="en-US" w:eastAsia="zh-CN"/>
        </w:rPr>
        <w:t>项目</w:t>
      </w:r>
      <w:r>
        <w:rPr>
          <w:rFonts w:hint="eastAsia" w:ascii="宋体" w:hAnsi="宋体" w:eastAsia="宋体" w:cs="宋体"/>
          <w:bCs/>
          <w:color w:val="auto"/>
          <w:sz w:val="20"/>
          <w:szCs w:val="20"/>
          <w:highlight w:val="none"/>
        </w:rPr>
        <w:t>概况：本项目位于阜沙镇，项目包含各种苗（树）木的管养</w:t>
      </w:r>
      <w:r>
        <w:rPr>
          <w:rFonts w:hint="eastAsia" w:ascii="宋体" w:hAnsi="宋体" w:eastAsia="宋体" w:cs="宋体"/>
          <w:bCs/>
          <w:color w:val="auto"/>
          <w:sz w:val="20"/>
          <w:szCs w:val="20"/>
          <w:highlight w:val="none"/>
          <w:lang w:val="en-US" w:eastAsia="zh-CN"/>
        </w:rPr>
        <w:t>及</w:t>
      </w:r>
      <w:r>
        <w:rPr>
          <w:rFonts w:hint="eastAsia" w:ascii="宋体" w:hAnsi="宋体" w:eastAsia="宋体" w:cs="宋体"/>
          <w:bCs/>
          <w:color w:val="auto"/>
          <w:sz w:val="20"/>
          <w:szCs w:val="20"/>
          <w:highlight w:val="none"/>
          <w:lang w:eastAsia="zh-CN"/>
        </w:rPr>
        <w:t>所有时花生产、运输及种植施工和摆设施工、管理养护</w:t>
      </w:r>
      <w:r>
        <w:rPr>
          <w:rFonts w:hint="eastAsia" w:ascii="宋体" w:hAnsi="宋体" w:eastAsia="宋体" w:cs="宋体"/>
          <w:bCs/>
          <w:color w:val="auto"/>
          <w:sz w:val="20"/>
          <w:szCs w:val="20"/>
          <w:highlight w:val="none"/>
        </w:rPr>
        <w:t>。管养内容有淋水、培土、施肥、修剪、扶正、除草、病虫害防治、防台风支撑加固、清理绿化范围内的垃圾、杂物等，自行负责处理修剪出来的绿化垃圾、清理中间绿化带垃圾</w:t>
      </w:r>
      <w:r>
        <w:rPr>
          <w:rFonts w:hint="eastAsia" w:ascii="宋体" w:hAnsi="宋体" w:eastAsia="宋体" w:cs="宋体"/>
          <w:bCs/>
          <w:color w:val="auto"/>
          <w:sz w:val="20"/>
          <w:szCs w:val="20"/>
          <w:highlight w:val="none"/>
          <w:lang w:val="en-US" w:eastAsia="zh-CN"/>
        </w:rPr>
        <w:t>等</w:t>
      </w:r>
      <w:r>
        <w:rPr>
          <w:rFonts w:hint="eastAsia" w:ascii="宋体" w:hAnsi="宋体" w:eastAsia="宋体" w:cs="宋体"/>
          <w:bCs/>
          <w:color w:val="auto"/>
          <w:sz w:val="20"/>
          <w:szCs w:val="20"/>
          <w:highlight w:val="none"/>
        </w:rPr>
        <w:t>。</w:t>
      </w:r>
    </w:p>
    <w:p w14:paraId="7BFA20F2">
      <w:pPr>
        <w:widowControl/>
        <w:spacing w:line="360" w:lineRule="auto"/>
        <w:ind w:firstLine="400" w:firstLineChars="200"/>
        <w:jc w:val="left"/>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w:t>
      </w:r>
      <w:r>
        <w:rPr>
          <w:rFonts w:hint="eastAsia" w:ascii="宋体" w:hAnsi="宋体" w:eastAsia="宋体" w:cs="宋体"/>
          <w:bCs/>
          <w:color w:val="auto"/>
          <w:sz w:val="20"/>
          <w:szCs w:val="20"/>
          <w:highlight w:val="none"/>
          <w:lang w:val="en-US" w:eastAsia="zh-CN"/>
        </w:rPr>
        <w:t>三</w:t>
      </w:r>
      <w:r>
        <w:rPr>
          <w:rFonts w:hint="eastAsia" w:ascii="宋体" w:hAnsi="宋体" w:eastAsia="宋体" w:cs="宋体"/>
          <w:bCs/>
          <w:color w:val="auto"/>
          <w:sz w:val="20"/>
          <w:szCs w:val="20"/>
          <w:highlight w:val="none"/>
        </w:rPr>
        <w:t>）</w:t>
      </w:r>
      <w:r>
        <w:rPr>
          <w:rFonts w:hint="eastAsia" w:ascii="宋体" w:hAnsi="宋体" w:eastAsia="宋体" w:cs="宋体"/>
          <w:b w:val="0"/>
          <w:bCs w:val="0"/>
          <w:color w:val="auto"/>
          <w:sz w:val="20"/>
          <w:szCs w:val="20"/>
          <w:highlight w:val="none"/>
        </w:rPr>
        <w:t>综合</w:t>
      </w:r>
      <w:r>
        <w:rPr>
          <w:rFonts w:hint="eastAsia" w:ascii="宋体" w:hAnsi="宋体" w:eastAsia="宋体" w:cs="宋体"/>
          <w:bCs/>
          <w:color w:val="auto"/>
          <w:sz w:val="20"/>
          <w:szCs w:val="20"/>
          <w:highlight w:val="none"/>
        </w:rPr>
        <w:t>管养</w:t>
      </w:r>
      <w:r>
        <w:rPr>
          <w:rFonts w:hint="eastAsia" w:ascii="宋体" w:hAnsi="宋体" w:eastAsia="宋体" w:cs="宋体"/>
          <w:bCs/>
          <w:color w:val="auto"/>
          <w:sz w:val="20"/>
          <w:szCs w:val="20"/>
          <w:highlight w:val="none"/>
          <w:lang w:val="en-US" w:eastAsia="zh-CN"/>
        </w:rPr>
        <w:t>范围</w:t>
      </w:r>
      <w:r>
        <w:rPr>
          <w:rFonts w:hint="eastAsia" w:ascii="宋体" w:hAnsi="宋体" w:eastAsia="宋体" w:cs="宋体"/>
          <w:bCs/>
          <w:color w:val="auto"/>
          <w:sz w:val="20"/>
          <w:szCs w:val="20"/>
          <w:highlight w:val="none"/>
        </w:rPr>
        <w:t>：东阜公路（浮虚山红绿灯至交警支队位置）、东阜公路（东阜公路中间及两侧花基）</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东阜公路（东阜公路高速路口）</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东阜公路（东阜公路两侧路段）</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阜港公路（阜沙与港口交界处至一涌口交界路段）</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阜港公路（阜南大道（浮虚山红绿灯-新品尝汇路口））、纵四线</w:t>
      </w:r>
      <w:r>
        <w:rPr>
          <w:rFonts w:hint="eastAsia" w:ascii="宋体" w:hAnsi="宋体" w:eastAsia="宋体" w:cs="宋体"/>
          <w:bCs/>
          <w:color w:val="auto"/>
          <w:sz w:val="20"/>
          <w:szCs w:val="20"/>
          <w:highlight w:val="none"/>
          <w:lang w:eastAsia="zh-CN"/>
        </w:rPr>
        <w:t>、东阜公路、阜港公路保洁、松乐路、浮虚山及周边（福永路）、浮虚山及周边（浮虚山公园（含黄鱼街））、阜港东路、阜港西路、</w:t>
      </w:r>
      <w:r>
        <w:rPr>
          <w:rFonts w:hint="eastAsia" w:ascii="宋体" w:hAnsi="宋体" w:eastAsia="宋体" w:cs="宋体"/>
          <w:bCs/>
          <w:color w:val="auto"/>
          <w:sz w:val="20"/>
          <w:szCs w:val="20"/>
          <w:highlight w:val="none"/>
        </w:rPr>
        <w:t>阜建路</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文化长廊（闸洞涌）</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上苑公园及周边小区道路</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商业广场南边小公园</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牛角育才路（含工业区绿地）</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东海路</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万阜路</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供电公司-水利园</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聚财街</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三阜公路</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锦绣路</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上南工业区</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榄菊公司边道路</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罗松村围堤江滨绿地</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横迳涌示范路</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鸦雀尾公园</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碧道</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新建街</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民安加油站旁及对开空地</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阜沙敬老院</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公安分局大院、阜城派出所、牛角派出所、上文派出所</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rPr>
        <w:t>住建局大院</w:t>
      </w:r>
      <w:r>
        <w:rPr>
          <w:rFonts w:hint="eastAsia" w:ascii="宋体" w:hAnsi="宋体" w:eastAsia="宋体" w:cs="宋体"/>
          <w:bCs/>
          <w:color w:val="auto"/>
          <w:sz w:val="20"/>
          <w:szCs w:val="20"/>
          <w:highlight w:val="none"/>
          <w:lang w:eastAsia="zh-CN"/>
        </w:rPr>
        <w:t>、镇政府大院、阜沙市场周边</w:t>
      </w:r>
      <w:r>
        <w:rPr>
          <w:rFonts w:hint="eastAsia" w:ascii="宋体" w:hAnsi="宋体" w:eastAsia="宋体" w:cs="宋体"/>
          <w:bCs/>
          <w:color w:val="auto"/>
          <w:sz w:val="20"/>
          <w:szCs w:val="20"/>
          <w:highlight w:val="none"/>
        </w:rPr>
        <w:t>等。（详见工程量</w:t>
      </w:r>
      <w:r>
        <w:rPr>
          <w:rFonts w:hint="eastAsia" w:ascii="宋体" w:hAnsi="宋体" w:eastAsia="宋体" w:cs="宋体"/>
          <w:bCs/>
          <w:color w:val="auto"/>
          <w:sz w:val="20"/>
          <w:szCs w:val="20"/>
          <w:highlight w:val="none"/>
          <w:lang w:val="en-US" w:eastAsia="zh-CN"/>
        </w:rPr>
        <w:t>清单</w:t>
      </w:r>
      <w:r>
        <w:rPr>
          <w:rFonts w:hint="eastAsia" w:ascii="宋体" w:hAnsi="宋体" w:eastAsia="宋体" w:cs="宋体"/>
          <w:bCs/>
          <w:color w:val="auto"/>
          <w:sz w:val="20"/>
          <w:szCs w:val="20"/>
          <w:highlight w:val="none"/>
        </w:rPr>
        <w:t>）</w:t>
      </w:r>
    </w:p>
    <w:p w14:paraId="0548923A">
      <w:pPr>
        <w:widowControl/>
        <w:spacing w:line="360" w:lineRule="auto"/>
        <w:ind w:firstLine="400" w:firstLineChars="200"/>
        <w:jc w:val="left"/>
        <w:rPr>
          <w:rFonts w:hint="eastAsia" w:ascii="宋体" w:hAnsi="宋体" w:eastAsia="宋体" w:cs="宋体"/>
          <w:bCs/>
          <w:color w:val="auto"/>
          <w:sz w:val="20"/>
          <w:szCs w:val="20"/>
          <w:highlight w:val="none"/>
          <w:lang w:val="en-US" w:eastAsia="zh-CN"/>
        </w:rPr>
      </w:pP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lang w:val="en-US" w:eastAsia="zh-CN"/>
        </w:rPr>
        <w:t>四</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lang w:val="en-US" w:eastAsia="zh-CN"/>
        </w:rPr>
        <w:t>时花种植管养范围：界碑区域、浮虚山、阜沙大道（浮虚山、政府）渠化路口、高速出口、政府大院、政府门口等。</w:t>
      </w:r>
      <w:r>
        <w:rPr>
          <w:rFonts w:hint="eastAsia" w:ascii="宋体" w:hAnsi="宋体" w:eastAsia="宋体" w:cs="宋体"/>
          <w:bCs/>
          <w:color w:val="auto"/>
          <w:sz w:val="20"/>
          <w:szCs w:val="20"/>
          <w:highlight w:val="none"/>
        </w:rPr>
        <w:t>（详见工程量</w:t>
      </w:r>
      <w:r>
        <w:rPr>
          <w:rFonts w:hint="eastAsia" w:ascii="宋体" w:hAnsi="宋体" w:eastAsia="宋体" w:cs="宋体"/>
          <w:bCs/>
          <w:color w:val="auto"/>
          <w:sz w:val="20"/>
          <w:szCs w:val="20"/>
          <w:highlight w:val="none"/>
          <w:lang w:val="en-US" w:eastAsia="zh-CN"/>
        </w:rPr>
        <w:t>清单</w:t>
      </w:r>
      <w:r>
        <w:rPr>
          <w:rFonts w:hint="eastAsia" w:ascii="宋体" w:hAnsi="宋体" w:eastAsia="宋体" w:cs="宋体"/>
          <w:bCs/>
          <w:color w:val="auto"/>
          <w:sz w:val="20"/>
          <w:szCs w:val="20"/>
          <w:highlight w:val="none"/>
        </w:rPr>
        <w:t>）</w:t>
      </w:r>
    </w:p>
    <w:p w14:paraId="0A0638A6">
      <w:pPr>
        <w:widowControl/>
        <w:spacing w:line="360" w:lineRule="auto"/>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bCs/>
          <w:color w:val="auto"/>
          <w:sz w:val="20"/>
          <w:szCs w:val="20"/>
          <w:highlight w:val="none"/>
        </w:rPr>
        <w:t>（</w:t>
      </w:r>
      <w:r>
        <w:rPr>
          <w:rFonts w:hint="eastAsia" w:ascii="宋体" w:hAnsi="宋体" w:eastAsia="宋体" w:cs="宋体"/>
          <w:bCs/>
          <w:color w:val="auto"/>
          <w:sz w:val="20"/>
          <w:szCs w:val="20"/>
          <w:highlight w:val="none"/>
          <w:lang w:eastAsia="zh-CN"/>
        </w:rPr>
        <w:t>五</w:t>
      </w:r>
      <w:r>
        <w:rPr>
          <w:rFonts w:hint="eastAsia" w:ascii="宋体" w:hAnsi="宋体" w:eastAsia="宋体" w:cs="宋体"/>
          <w:bCs/>
          <w:color w:val="auto"/>
          <w:sz w:val="20"/>
          <w:szCs w:val="20"/>
          <w:highlight w:val="none"/>
        </w:rPr>
        <w:t>）</w:t>
      </w:r>
      <w:r>
        <w:rPr>
          <w:rFonts w:hint="eastAsia" w:ascii="宋体" w:hAnsi="宋体" w:eastAsia="宋体" w:cs="宋体"/>
          <w:color w:val="auto"/>
          <w:sz w:val="20"/>
          <w:szCs w:val="20"/>
          <w:highlight w:val="none"/>
        </w:rPr>
        <w:t>采购人有权在签订合同时对项目方案、合同内容作适当修改调整。</w:t>
      </w:r>
    </w:p>
    <w:p w14:paraId="71E0DAD4">
      <w:pPr>
        <w:widowControl/>
        <w:spacing w:line="360" w:lineRule="auto"/>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bCs/>
          <w:color w:val="auto"/>
          <w:sz w:val="20"/>
          <w:szCs w:val="20"/>
          <w:highlight w:val="none"/>
        </w:rPr>
        <w:t>（</w:t>
      </w:r>
      <w:r>
        <w:rPr>
          <w:rFonts w:hint="eastAsia" w:ascii="宋体" w:hAnsi="宋体" w:eastAsia="宋体" w:cs="宋体"/>
          <w:bCs/>
          <w:color w:val="auto"/>
          <w:sz w:val="20"/>
          <w:szCs w:val="20"/>
          <w:highlight w:val="none"/>
          <w:lang w:eastAsia="zh-CN"/>
        </w:rPr>
        <w:t>六</w:t>
      </w:r>
      <w:r>
        <w:rPr>
          <w:rFonts w:hint="eastAsia" w:ascii="宋体" w:hAnsi="宋体" w:eastAsia="宋体" w:cs="宋体"/>
          <w:bCs/>
          <w:color w:val="auto"/>
          <w:sz w:val="20"/>
          <w:szCs w:val="20"/>
          <w:highlight w:val="none"/>
        </w:rPr>
        <w:t>）</w:t>
      </w:r>
      <w:r>
        <w:rPr>
          <w:rFonts w:hint="eastAsia" w:ascii="宋体" w:hAnsi="宋体" w:eastAsia="宋体" w:cs="宋体"/>
          <w:color w:val="auto"/>
          <w:sz w:val="20"/>
          <w:szCs w:val="20"/>
          <w:highlight w:val="none"/>
        </w:rPr>
        <w:t>在合同履行期间，如因城市管理改革，合同需提前终止的，采购人应提前三十日告知中标人，中标人须无条件接受，双方互不追究法律责任，采购人无需作任何赔偿或补偿。</w:t>
      </w:r>
    </w:p>
    <w:p w14:paraId="576381A8">
      <w:pPr>
        <w:widowControl/>
        <w:spacing w:line="360" w:lineRule="auto"/>
        <w:ind w:firstLine="400" w:firstLineChars="200"/>
        <w:jc w:val="left"/>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w:t>
      </w:r>
      <w:r>
        <w:rPr>
          <w:rFonts w:hint="eastAsia" w:ascii="宋体" w:hAnsi="宋体" w:eastAsia="宋体" w:cs="宋体"/>
          <w:bCs/>
          <w:color w:val="auto"/>
          <w:sz w:val="20"/>
          <w:szCs w:val="20"/>
          <w:highlight w:val="none"/>
          <w:lang w:val="en-US" w:eastAsia="zh-CN"/>
        </w:rPr>
        <w:t>七</w:t>
      </w:r>
      <w:r>
        <w:rPr>
          <w:rFonts w:hint="eastAsia" w:ascii="宋体" w:hAnsi="宋体" w:eastAsia="宋体" w:cs="宋体"/>
          <w:bCs/>
          <w:color w:val="auto"/>
          <w:sz w:val="20"/>
          <w:szCs w:val="20"/>
          <w:highlight w:val="none"/>
        </w:rPr>
        <w:t>）</w:t>
      </w:r>
      <w:r>
        <w:rPr>
          <w:rFonts w:hint="eastAsia" w:ascii="宋体" w:hAnsi="宋体" w:eastAsia="宋体" w:cs="宋体"/>
          <w:color w:val="auto"/>
          <w:sz w:val="20"/>
          <w:szCs w:val="20"/>
          <w:highlight w:val="none"/>
        </w:rPr>
        <w:t>未经采购人批准，中标人不得通过任何形式转包、分包本项目的部分或全部工作，不得委托或指示第三方代为履行。中标人将本项目转包、分包、单列分管公司或以其他方式向第三方分包的，均视为违约，合同即时终止。采购人重新组织采购确定管养单位，</w:t>
      </w:r>
      <w:r>
        <w:rPr>
          <w:rFonts w:hint="eastAsia" w:ascii="宋体" w:hAnsi="宋体" w:eastAsia="宋体" w:cs="宋体"/>
          <w:color w:val="auto"/>
          <w:sz w:val="20"/>
          <w:szCs w:val="20"/>
          <w:highlight w:val="none"/>
          <w:lang w:val="en-US" w:eastAsia="zh-CN"/>
        </w:rPr>
        <w:t>履约保证金</w:t>
      </w:r>
      <w:r>
        <w:rPr>
          <w:rFonts w:hint="eastAsia" w:ascii="宋体" w:hAnsi="宋体" w:eastAsia="宋体" w:cs="宋体"/>
          <w:color w:val="auto"/>
          <w:sz w:val="20"/>
          <w:szCs w:val="20"/>
          <w:highlight w:val="none"/>
        </w:rPr>
        <w:t>将作为违约金由采购人没收。造成采购人损失的（包括但不限于第三方索赔、赔偿金、律师费等），中标人应当承担赔偿责任。</w:t>
      </w:r>
    </w:p>
    <w:p w14:paraId="7F6229F9">
      <w:pPr>
        <w:pStyle w:val="19"/>
        <w:spacing w:line="360" w:lineRule="auto"/>
        <w:ind w:firstLine="400" w:firstLineChars="200"/>
        <w:rPr>
          <w:rFonts w:hint="eastAsia" w:ascii="宋体" w:hAnsi="宋体" w:eastAsia="宋体" w:cs="宋体"/>
          <w:b w:val="0"/>
          <w:bCs/>
          <w:color w:val="auto"/>
          <w:sz w:val="20"/>
          <w:szCs w:val="20"/>
          <w:highlight w:val="none"/>
        </w:rPr>
      </w:pPr>
      <w:r>
        <w:rPr>
          <w:rFonts w:hint="eastAsia" w:ascii="宋体" w:hAnsi="宋体" w:eastAsia="宋体" w:cs="宋体"/>
          <w:bCs/>
          <w:color w:val="auto"/>
          <w:sz w:val="20"/>
          <w:szCs w:val="20"/>
          <w:highlight w:val="none"/>
        </w:rPr>
        <w:t>（</w:t>
      </w:r>
      <w:r>
        <w:rPr>
          <w:rFonts w:hint="eastAsia" w:ascii="宋体" w:hAnsi="宋体" w:eastAsia="宋体" w:cs="宋体"/>
          <w:bCs/>
          <w:color w:val="auto"/>
          <w:sz w:val="20"/>
          <w:szCs w:val="20"/>
          <w:highlight w:val="none"/>
          <w:lang w:val="en-US" w:eastAsia="zh-CN"/>
        </w:rPr>
        <w:t>八</w:t>
      </w:r>
      <w:r>
        <w:rPr>
          <w:rFonts w:hint="eastAsia" w:ascii="宋体" w:hAnsi="宋体" w:eastAsia="宋体" w:cs="宋体"/>
          <w:bCs/>
          <w:color w:val="auto"/>
          <w:sz w:val="20"/>
          <w:szCs w:val="20"/>
          <w:highlight w:val="none"/>
        </w:rPr>
        <w:t>）</w:t>
      </w:r>
      <w:r>
        <w:rPr>
          <w:rFonts w:hint="eastAsia" w:ascii="宋体" w:hAnsi="宋体" w:eastAsia="宋体" w:cs="宋体"/>
          <w:b w:val="0"/>
          <w:bCs/>
          <w:color w:val="auto"/>
          <w:sz w:val="20"/>
          <w:szCs w:val="20"/>
          <w:highlight w:val="none"/>
        </w:rPr>
        <w:t>本项目属性为服务类。</w:t>
      </w:r>
    </w:p>
    <w:p w14:paraId="34256601">
      <w:pPr>
        <w:widowControl/>
        <w:spacing w:line="360" w:lineRule="auto"/>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bCs/>
          <w:color w:val="auto"/>
          <w:sz w:val="20"/>
          <w:szCs w:val="20"/>
          <w:highlight w:val="none"/>
        </w:rPr>
        <w:t>（</w:t>
      </w:r>
      <w:r>
        <w:rPr>
          <w:rFonts w:hint="eastAsia" w:ascii="宋体" w:hAnsi="宋体" w:eastAsia="宋体" w:cs="宋体"/>
          <w:bCs/>
          <w:color w:val="auto"/>
          <w:sz w:val="20"/>
          <w:szCs w:val="20"/>
          <w:highlight w:val="none"/>
          <w:lang w:val="en-US" w:eastAsia="zh-CN"/>
        </w:rPr>
        <w:t>九</w:t>
      </w:r>
      <w:r>
        <w:rPr>
          <w:rFonts w:hint="eastAsia" w:ascii="宋体" w:hAnsi="宋体" w:eastAsia="宋体" w:cs="宋体"/>
          <w:bCs/>
          <w:color w:val="auto"/>
          <w:sz w:val="20"/>
          <w:szCs w:val="20"/>
          <w:highlight w:val="none"/>
        </w:rPr>
        <w:t>）</w:t>
      </w:r>
      <w:r>
        <w:rPr>
          <w:rFonts w:hint="eastAsia" w:ascii="宋体" w:hAnsi="宋体" w:eastAsia="宋体" w:cs="宋体"/>
          <w:color w:val="auto"/>
          <w:sz w:val="20"/>
          <w:szCs w:val="20"/>
          <w:highlight w:val="none"/>
        </w:rPr>
        <w:t>本项目确定1名中标人。</w:t>
      </w:r>
    </w:p>
    <w:p w14:paraId="66E7308E">
      <w:pPr>
        <w:widowControl/>
        <w:spacing w:line="360" w:lineRule="auto"/>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bCs/>
          <w:color w:val="auto"/>
          <w:sz w:val="20"/>
          <w:szCs w:val="20"/>
          <w:highlight w:val="none"/>
        </w:rPr>
        <w:t>（</w:t>
      </w:r>
      <w:r>
        <w:rPr>
          <w:rFonts w:hint="eastAsia" w:ascii="宋体" w:hAnsi="宋体" w:eastAsia="宋体" w:cs="宋体"/>
          <w:bCs/>
          <w:color w:val="auto"/>
          <w:sz w:val="20"/>
          <w:szCs w:val="20"/>
          <w:highlight w:val="none"/>
          <w:lang w:val="en-US" w:eastAsia="zh-CN"/>
        </w:rPr>
        <w:t>十</w:t>
      </w:r>
      <w:r>
        <w:rPr>
          <w:rFonts w:hint="eastAsia" w:ascii="宋体" w:hAnsi="宋体" w:eastAsia="宋体" w:cs="宋体"/>
          <w:bCs/>
          <w:color w:val="auto"/>
          <w:sz w:val="20"/>
          <w:szCs w:val="20"/>
          <w:highlight w:val="none"/>
        </w:rPr>
        <w:t>）本项目由中标人负责招标文件对中标人要求的一切事宜及责任。如果投标人在中标并签署合同后，在项目实施过程中出现报价内容的任何遗漏，均由中标人负责提供，采购人将不再支付任何费用。</w:t>
      </w:r>
    </w:p>
    <w:p w14:paraId="521CE852">
      <w:pPr>
        <w:widowControl/>
        <w:spacing w:line="360" w:lineRule="auto"/>
        <w:ind w:firstLine="400" w:firstLineChars="200"/>
        <w:jc w:val="left"/>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w:t>
      </w:r>
      <w:r>
        <w:rPr>
          <w:rFonts w:hint="eastAsia" w:ascii="宋体" w:hAnsi="宋体" w:eastAsia="宋体" w:cs="宋体"/>
          <w:b w:val="0"/>
          <w:bCs w:val="0"/>
          <w:color w:val="auto"/>
          <w:sz w:val="20"/>
          <w:szCs w:val="20"/>
          <w:highlight w:val="none"/>
          <w:lang w:val="en-US" w:eastAsia="zh-CN"/>
        </w:rPr>
        <w:t>十</w:t>
      </w:r>
      <w:r>
        <w:rPr>
          <w:rFonts w:hint="eastAsia" w:ascii="宋体" w:hAnsi="宋体" w:eastAsia="宋体" w:cs="宋体"/>
          <w:bCs/>
          <w:color w:val="auto"/>
          <w:sz w:val="20"/>
          <w:szCs w:val="20"/>
          <w:highlight w:val="none"/>
          <w:lang w:val="en-US" w:eastAsia="zh-CN"/>
        </w:rPr>
        <w:t>一</w:t>
      </w:r>
      <w:r>
        <w:rPr>
          <w:rFonts w:hint="eastAsia" w:ascii="宋体" w:hAnsi="宋体" w:eastAsia="宋体" w:cs="宋体"/>
          <w:b w:val="0"/>
          <w:bCs w:val="0"/>
          <w:color w:val="auto"/>
          <w:sz w:val="20"/>
          <w:szCs w:val="20"/>
          <w:highlight w:val="none"/>
        </w:rPr>
        <w:t>）招标文件中凡标有“★”的地方均被视为重要的指标要求。投标人要特别加以注意，必须对此具体、明确响应并完全满足或优于这些要求。否则若有一项带“★”的指标未响应或不满足，将视为非实质性响应招标文件要求。</w:t>
      </w:r>
    </w:p>
    <w:p w14:paraId="7A7E58C8">
      <w:pPr>
        <w:pStyle w:val="19"/>
        <w:spacing w:line="360" w:lineRule="auto"/>
        <w:ind w:firstLine="396" w:firstLineChars="198"/>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十二</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投标文件格式的《技术和服务要求响应表》中“采购文件规定的技术和服务要求”项下填写的内容应与招标文件第二章采购需求的“</w:t>
      </w:r>
      <w:r>
        <w:rPr>
          <w:rFonts w:hint="eastAsia" w:ascii="宋体" w:hAnsi="宋体" w:eastAsia="宋体" w:cs="宋体"/>
          <w:b w:val="0"/>
          <w:bCs w:val="0"/>
          <w:color w:val="auto"/>
          <w:sz w:val="20"/>
          <w:szCs w:val="20"/>
          <w:highlight w:val="none"/>
          <w:lang w:val="en-US" w:eastAsia="zh-CN"/>
        </w:rPr>
        <w:t>技术标准与要求</w:t>
      </w:r>
      <w:r>
        <w:rPr>
          <w:rFonts w:hint="eastAsia" w:ascii="宋体" w:hAnsi="宋体" w:eastAsia="宋体" w:cs="宋体"/>
          <w:b w:val="0"/>
          <w:bCs w:val="0"/>
          <w:color w:val="auto"/>
          <w:sz w:val="20"/>
          <w:szCs w:val="20"/>
          <w:highlight w:val="none"/>
        </w:rPr>
        <w:t>”的内容保持一致。《商务条件响应表》中“采购文件规定的商务条件”项下填写的内容应与招标文件第二章采购需求的“</w:t>
      </w:r>
      <w:r>
        <w:rPr>
          <w:rFonts w:hint="eastAsia" w:ascii="宋体" w:hAnsi="宋体" w:eastAsia="宋体" w:cs="宋体"/>
          <w:b w:val="0"/>
          <w:bCs w:val="0"/>
          <w:color w:val="auto"/>
          <w:sz w:val="20"/>
          <w:szCs w:val="20"/>
          <w:highlight w:val="none"/>
          <w:lang w:val="en-US" w:eastAsia="zh-CN"/>
        </w:rPr>
        <w:t>主要商务要求</w:t>
      </w:r>
      <w:r>
        <w:rPr>
          <w:rFonts w:hint="eastAsia" w:ascii="宋体" w:hAnsi="宋体" w:eastAsia="宋体" w:cs="宋体"/>
          <w:b w:val="0"/>
          <w:bCs w:val="0"/>
          <w:color w:val="auto"/>
          <w:sz w:val="20"/>
          <w:szCs w:val="20"/>
          <w:highlight w:val="none"/>
        </w:rPr>
        <w:t>”的内容保持一致。投标人应当如实填写各表中“投标文件响应的具体内容”处内容，对采购文件提出的要求和条件作出明确响应，并列明具体响应数值或内容。</w:t>
      </w:r>
    </w:p>
    <w:p w14:paraId="04B847EF">
      <w:pPr>
        <w:pStyle w:val="19"/>
        <w:spacing w:line="360" w:lineRule="auto"/>
        <w:ind w:firstLine="400" w:firstLineChars="200"/>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十三</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本项目采购标的对应的中小企业划分标准所属行业：</w:t>
      </w:r>
      <w:r>
        <w:rPr>
          <w:rFonts w:hint="eastAsia" w:ascii="宋体" w:hAnsi="宋体" w:eastAsia="宋体" w:cs="宋体"/>
          <w:b w:val="0"/>
          <w:bCs w:val="0"/>
          <w:color w:val="auto"/>
          <w:sz w:val="20"/>
          <w:szCs w:val="20"/>
          <w:highlight w:val="none"/>
          <w:lang w:eastAsia="zh-CN"/>
        </w:rPr>
        <w:t>其他未列明行业</w:t>
      </w:r>
      <w:r>
        <w:rPr>
          <w:rFonts w:hint="eastAsia" w:ascii="宋体" w:hAnsi="宋体" w:eastAsia="宋体" w:cs="宋体"/>
          <w:b w:val="0"/>
          <w:bCs w:val="0"/>
          <w:color w:val="auto"/>
          <w:sz w:val="20"/>
          <w:szCs w:val="20"/>
          <w:highlight w:val="none"/>
        </w:rPr>
        <w:t>。</w:t>
      </w:r>
      <w:r>
        <w:rPr>
          <w:rFonts w:hint="eastAsia" w:ascii="宋体" w:hAnsi="宋体" w:eastAsia="宋体" w:cs="宋体"/>
          <w:color w:val="auto"/>
          <w:sz w:val="20"/>
          <w:szCs w:val="20"/>
          <w:highlight w:val="none"/>
          <w:lang w:val="en-US" w:eastAsia="zh-CN"/>
        </w:rPr>
        <w:t>投标人按照《广东省财政厅关于进一步规范政府采购活动中落实促进中小企业发展政策的通知》（粤财采购〔2024〕11号）等文件要求填写《中小企业声明函》。</w:t>
      </w:r>
    </w:p>
    <w:p w14:paraId="2987CFFE">
      <w:pPr>
        <w:pStyle w:val="19"/>
        <w:spacing w:line="360" w:lineRule="auto"/>
        <w:ind w:firstLine="400" w:firstLineChars="200"/>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十四</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各投标人应结合相关文件及现场情况，充分考虑影响因素后进行报价。</w:t>
      </w:r>
    </w:p>
    <w:p w14:paraId="2A9D0125">
      <w:pPr>
        <w:pStyle w:val="19"/>
        <w:spacing w:line="360" w:lineRule="auto"/>
        <w:ind w:firstLine="400" w:firstLineChars="200"/>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十五</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现场勘察：本项目不组织现场勘察。</w:t>
      </w:r>
    </w:p>
    <w:p w14:paraId="5DA505AB">
      <w:pPr>
        <w:pStyle w:val="19"/>
        <w:spacing w:line="360" w:lineRule="auto"/>
        <w:ind w:firstLine="400" w:firstLineChars="200"/>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十六</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分项报价表格式</w:t>
      </w:r>
    </w:p>
    <w:p w14:paraId="16E240B5">
      <w:pPr>
        <w:keepNext w:val="0"/>
        <w:keepLines w:val="0"/>
        <w:pageBreakBefore w:val="0"/>
        <w:widowControl w:val="0"/>
        <w:shd w:val="clear"/>
        <w:kinsoku/>
        <w:wordWrap/>
        <w:overflowPunct/>
        <w:topLinePunct w:val="0"/>
        <w:autoSpaceDE/>
        <w:autoSpaceDN/>
        <w:bidi w:val="0"/>
        <w:adjustRightInd/>
        <w:snapToGrid/>
        <w:spacing w:after="0" w:afterLines="50"/>
        <w:jc w:val="center"/>
        <w:textAlignment w:val="auto"/>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w:t>
      </w:r>
      <w:r>
        <w:rPr>
          <w:rFonts w:hint="eastAsia" w:ascii="宋体" w:hAnsi="宋体" w:eastAsia="宋体" w:cs="宋体"/>
          <w:b/>
          <w:color w:val="auto"/>
          <w:sz w:val="20"/>
          <w:szCs w:val="20"/>
          <w:highlight w:val="none"/>
        </w:rPr>
        <w:t>分项报价表</w:t>
      </w:r>
      <w:r>
        <w:rPr>
          <w:rFonts w:hint="eastAsia" w:ascii="宋体" w:hAnsi="宋体" w:eastAsia="宋体" w:cs="宋体"/>
          <w:b/>
          <w:color w:val="auto"/>
          <w:sz w:val="20"/>
          <w:szCs w:val="20"/>
          <w:highlight w:val="none"/>
          <w:lang w:eastAsia="zh-CN"/>
        </w:rPr>
        <w:t>》</w:t>
      </w:r>
    </w:p>
    <w:p w14:paraId="6373BAD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rPr>
        <w:t>注：</w:t>
      </w:r>
      <w:r>
        <w:rPr>
          <w:rFonts w:hint="eastAsia" w:ascii="宋体" w:hAnsi="宋体" w:eastAsia="宋体" w:cs="宋体"/>
          <w:b/>
          <w:bCs/>
          <w:color w:val="auto"/>
          <w:sz w:val="20"/>
          <w:szCs w:val="20"/>
          <w:highlight w:val="none"/>
          <w:lang w:val="en-US" w:eastAsia="zh-CN"/>
        </w:rPr>
        <w:t>1.投标人无需在投标客户端中进行分项报价；</w:t>
      </w:r>
    </w:p>
    <w:p w14:paraId="541FAF1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2.投标人须按采购人提供的工程量清单格式内容编制分项报价，还须填写此表附在投标文件中。</w:t>
      </w:r>
    </w:p>
    <w:p w14:paraId="4F192717">
      <w:pPr>
        <w:pStyle w:val="2"/>
        <w:numPr>
          <w:ilvl w:val="0"/>
          <w:numId w:val="0"/>
        </w:numPr>
        <w:shd w:val="clear"/>
        <w:rPr>
          <w:rFonts w:hint="eastAsia" w:ascii="宋体" w:hAnsi="宋体" w:eastAsia="宋体" w:cs="宋体"/>
          <w:color w:val="auto"/>
          <w:sz w:val="20"/>
          <w:szCs w:val="20"/>
          <w:highlight w:val="none"/>
          <w:lang w:val="en-US" w:eastAsia="zh-CN"/>
        </w:rPr>
      </w:pPr>
    </w:p>
    <w:p w14:paraId="6D9549EF">
      <w:pPr>
        <w:shd w:val="clear"/>
        <w:spacing w:line="360" w:lineRule="auto"/>
        <w:ind w:firstLine="48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采购项目编号：</w:t>
      </w:r>
    </w:p>
    <w:p w14:paraId="2D147CC8">
      <w:pPr>
        <w:shd w:val="clear"/>
        <w:spacing w:line="360" w:lineRule="auto"/>
        <w:ind w:firstLine="48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项目名称：</w:t>
      </w:r>
    </w:p>
    <w:p w14:paraId="2BB5E684">
      <w:pPr>
        <w:shd w:val="clear"/>
        <w:spacing w:line="360" w:lineRule="auto"/>
        <w:ind w:firstLine="48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投标人名称：</w:t>
      </w:r>
    </w:p>
    <w:p w14:paraId="56029080">
      <w:pPr>
        <w:shd w:val="clear"/>
        <w:spacing w:line="360" w:lineRule="auto"/>
        <w:ind w:firstLine="48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采购包：</w:t>
      </w:r>
    </w:p>
    <w:p w14:paraId="7237A849">
      <w:pPr>
        <w:shd w:val="clea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货币及单位：人民币/元</w:t>
      </w:r>
    </w:p>
    <w:tbl>
      <w:tblPr>
        <w:tblStyle w:val="10"/>
        <w:tblW w:w="935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1"/>
        <w:gridCol w:w="2217"/>
        <w:gridCol w:w="3382"/>
        <w:gridCol w:w="3007"/>
      </w:tblGrid>
      <w:tr w14:paraId="50993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1" w:type="dxa"/>
            <w:tcBorders>
              <w:top w:val="single" w:color="auto" w:sz="4" w:space="0"/>
            </w:tcBorders>
            <w:shd w:val="clear" w:color="auto" w:fill="auto"/>
            <w:vAlign w:val="center"/>
          </w:tcPr>
          <w:p w14:paraId="52A449E8">
            <w:pPr>
              <w:shd w:val="clear"/>
              <w:spacing w:line="360" w:lineRule="auto"/>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序号</w:t>
            </w:r>
          </w:p>
        </w:tc>
        <w:tc>
          <w:tcPr>
            <w:tcW w:w="2217" w:type="dxa"/>
            <w:tcBorders>
              <w:top w:val="single" w:color="auto" w:sz="4" w:space="0"/>
            </w:tcBorders>
            <w:shd w:val="clear" w:color="auto" w:fill="auto"/>
            <w:vAlign w:val="center"/>
          </w:tcPr>
          <w:p w14:paraId="416CD518">
            <w:pPr>
              <w:shd w:val="clear"/>
              <w:spacing w:line="360" w:lineRule="auto"/>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lang w:val="en-US" w:eastAsia="zh-CN"/>
              </w:rPr>
              <w:t>服务</w:t>
            </w:r>
            <w:r>
              <w:rPr>
                <w:rFonts w:hint="eastAsia" w:ascii="宋体" w:hAnsi="宋体" w:eastAsia="宋体" w:cs="宋体"/>
                <w:b/>
                <w:bCs/>
                <w:color w:val="auto"/>
                <w:sz w:val="20"/>
                <w:szCs w:val="20"/>
                <w:highlight w:val="none"/>
              </w:rPr>
              <w:t>名称</w:t>
            </w:r>
          </w:p>
        </w:tc>
        <w:tc>
          <w:tcPr>
            <w:tcW w:w="3382" w:type="dxa"/>
            <w:tcBorders>
              <w:top w:val="single" w:color="auto" w:sz="4" w:space="0"/>
            </w:tcBorders>
            <w:vAlign w:val="center"/>
          </w:tcPr>
          <w:p w14:paraId="74B86033">
            <w:pPr>
              <w:shd w:val="clear"/>
              <w:autoSpaceDE w:val="0"/>
              <w:autoSpaceDN w:val="0"/>
              <w:adjustRightInd w:val="0"/>
              <w:snapToGrid w:val="0"/>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一</w:t>
            </w:r>
            <w:r>
              <w:rPr>
                <w:rFonts w:hint="eastAsia" w:ascii="宋体" w:hAnsi="宋体" w:eastAsia="宋体" w:cs="宋体"/>
                <w:b/>
                <w:color w:val="auto"/>
                <w:sz w:val="20"/>
                <w:szCs w:val="20"/>
                <w:highlight w:val="none"/>
              </w:rPr>
              <w:t>年服务投标报价</w:t>
            </w:r>
          </w:p>
        </w:tc>
        <w:tc>
          <w:tcPr>
            <w:tcW w:w="3007" w:type="dxa"/>
            <w:vAlign w:val="center"/>
          </w:tcPr>
          <w:p w14:paraId="1D98F8B2">
            <w:pPr>
              <w:shd w:val="clear"/>
              <w:autoSpaceDE w:val="0"/>
              <w:autoSpaceDN w:val="0"/>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三年服务投标总报价</w:t>
            </w:r>
          </w:p>
        </w:tc>
      </w:tr>
      <w:tr w14:paraId="10876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24" w:hRule="atLeast"/>
          <w:jc w:val="center"/>
        </w:trPr>
        <w:tc>
          <w:tcPr>
            <w:tcW w:w="751" w:type="dxa"/>
            <w:vAlign w:val="center"/>
          </w:tcPr>
          <w:p w14:paraId="2C13BE7E">
            <w:pPr>
              <w:shd w:val="clea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2217" w:type="dxa"/>
            <w:vAlign w:val="center"/>
          </w:tcPr>
          <w:p w14:paraId="7A808EB8">
            <w:pPr>
              <w:widowControl/>
              <w:shd w:val="clear"/>
              <w:spacing w:line="360" w:lineRule="auto"/>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sz w:val="20"/>
                <w:szCs w:val="20"/>
                <w:highlight w:val="none"/>
                <w:lang w:eastAsia="zh-CN"/>
              </w:rPr>
              <w:t>2025-2028阜沙镇市政绿化管养项目</w:t>
            </w:r>
          </w:p>
        </w:tc>
        <w:tc>
          <w:tcPr>
            <w:tcW w:w="3382" w:type="dxa"/>
            <w:vAlign w:val="center"/>
          </w:tcPr>
          <w:p w14:paraId="1714A023">
            <w:pPr>
              <w:shd w:val="clear"/>
              <w:autoSpaceDE w:val="0"/>
              <w:autoSpaceDN w:val="0"/>
              <w:adjustRightInd w:val="0"/>
              <w:spacing w:line="360" w:lineRule="exact"/>
              <w:rPr>
                <w:rFonts w:hint="default" w:ascii="宋体" w:hAnsi="宋体" w:eastAsia="宋体" w:cs="宋体"/>
                <w:color w:val="auto"/>
                <w:sz w:val="20"/>
                <w:szCs w:val="20"/>
                <w:highlight w:val="none"/>
                <w:u w:val="single"/>
                <w:lang w:val="en-US" w:eastAsia="zh-CN"/>
              </w:rPr>
            </w:pPr>
            <w:r>
              <w:rPr>
                <w:rFonts w:hint="eastAsia" w:ascii="宋体" w:hAnsi="宋体" w:eastAsia="宋体" w:cs="宋体"/>
                <w:color w:val="auto"/>
                <w:sz w:val="20"/>
                <w:szCs w:val="20"/>
                <w:highlight w:val="none"/>
              </w:rPr>
              <w:t>大写：人民币</w:t>
            </w:r>
            <w:r>
              <w:rPr>
                <w:rFonts w:hint="eastAsia" w:ascii="宋体" w:hAnsi="宋体" w:eastAsia="宋体" w:cs="宋体"/>
                <w:color w:val="auto"/>
                <w:sz w:val="20"/>
                <w:szCs w:val="20"/>
                <w:highlight w:val="none"/>
                <w:u w:val="single"/>
                <w:lang w:val="en-US" w:eastAsia="zh-CN"/>
              </w:rPr>
              <w:t xml:space="preserve">        </w:t>
            </w:r>
          </w:p>
          <w:p w14:paraId="58C0E5B2">
            <w:pPr>
              <w:shd w:val="clear"/>
              <w:autoSpaceDE w:val="0"/>
              <w:autoSpaceDN w:val="0"/>
              <w:adjustRightInd w:val="0"/>
              <w:spacing w:line="360" w:lineRule="exact"/>
              <w:rPr>
                <w:rFonts w:hint="eastAsia" w:ascii="宋体" w:hAnsi="宋体" w:eastAsia="宋体" w:cs="宋体"/>
                <w:color w:val="auto"/>
                <w:sz w:val="20"/>
                <w:szCs w:val="20"/>
                <w:highlight w:val="none"/>
                <w:u w:val="single"/>
                <w:lang w:val="en-US" w:eastAsia="zh-CN"/>
              </w:rPr>
            </w:pPr>
            <w:r>
              <w:rPr>
                <w:rFonts w:hint="eastAsia" w:ascii="宋体" w:hAnsi="宋体" w:eastAsia="宋体" w:cs="宋体"/>
                <w:color w:val="auto"/>
                <w:sz w:val="20"/>
                <w:szCs w:val="20"/>
                <w:highlight w:val="none"/>
              </w:rPr>
              <w:t>小写：￥</w:t>
            </w:r>
            <w:r>
              <w:rPr>
                <w:rFonts w:hint="eastAsia" w:ascii="宋体" w:hAnsi="宋体" w:eastAsia="宋体" w:cs="宋体"/>
                <w:color w:val="auto"/>
                <w:sz w:val="20"/>
                <w:szCs w:val="20"/>
                <w:highlight w:val="none"/>
                <w:u w:val="single"/>
                <w:lang w:val="en-US" w:eastAsia="zh-CN"/>
              </w:rPr>
              <w:t xml:space="preserve">        </w:t>
            </w:r>
          </w:p>
          <w:p w14:paraId="6F5F5AA3">
            <w:pPr>
              <w:shd w:val="clear"/>
              <w:autoSpaceDE w:val="0"/>
              <w:autoSpaceDN w:val="0"/>
              <w:adjustRightInd w:val="0"/>
              <w:spacing w:line="360" w:lineRule="exact"/>
              <w:rPr>
                <w:rFonts w:hint="eastAsia" w:ascii="宋体" w:hAnsi="宋体" w:eastAsia="宋体" w:cs="宋体"/>
                <w:color w:val="auto"/>
                <w:sz w:val="20"/>
                <w:szCs w:val="20"/>
                <w:highlight w:val="none"/>
              </w:rPr>
            </w:pPr>
            <w:r>
              <w:rPr>
                <w:rFonts w:hint="eastAsia" w:ascii="宋体" w:hAnsi="宋体" w:eastAsia="宋体" w:cs="宋体"/>
                <w:b w:val="0"/>
                <w:bCs/>
                <w:color w:val="auto"/>
                <w:sz w:val="20"/>
                <w:szCs w:val="20"/>
                <w:highlight w:val="none"/>
                <w:lang w:val="en-US" w:eastAsia="zh-CN"/>
              </w:rPr>
              <w:t>（其中税前安全生产</w:t>
            </w:r>
            <w:r>
              <w:rPr>
                <w:rFonts w:hint="eastAsia" w:ascii="宋体" w:hAnsi="宋体" w:eastAsia="宋体" w:cs="宋体"/>
                <w:b w:val="0"/>
                <w:bCs/>
                <w:color w:val="auto"/>
                <w:sz w:val="20"/>
                <w:szCs w:val="20"/>
                <w:highlight w:val="none"/>
                <w:lang w:eastAsia="zh-CN"/>
              </w:rPr>
              <w:t>措施费：￥</w:t>
            </w:r>
            <w:r>
              <w:rPr>
                <w:rFonts w:hint="eastAsia" w:ascii="宋体" w:hAnsi="宋体" w:eastAsia="宋体" w:cs="宋体"/>
                <w:b w:val="0"/>
                <w:bCs/>
                <w:color w:val="auto"/>
                <w:sz w:val="20"/>
                <w:szCs w:val="20"/>
                <w:highlight w:val="none"/>
                <w:u w:val="single"/>
                <w:lang w:val="en-US" w:eastAsia="zh-CN"/>
              </w:rPr>
              <w:t xml:space="preserve">    </w:t>
            </w:r>
            <w:r>
              <w:rPr>
                <w:rFonts w:hint="eastAsia" w:ascii="宋体" w:hAnsi="宋体" w:eastAsia="宋体" w:cs="宋体"/>
                <w:b w:val="0"/>
                <w:bCs/>
                <w:color w:val="auto"/>
                <w:sz w:val="20"/>
                <w:szCs w:val="20"/>
                <w:highlight w:val="none"/>
                <w:lang w:eastAsia="zh-CN"/>
              </w:rPr>
              <w:t>）</w:t>
            </w:r>
          </w:p>
        </w:tc>
        <w:tc>
          <w:tcPr>
            <w:tcW w:w="3007" w:type="dxa"/>
            <w:shd w:val="clear" w:color="auto" w:fill="auto"/>
            <w:vAlign w:val="center"/>
          </w:tcPr>
          <w:p w14:paraId="33453493">
            <w:pPr>
              <w:shd w:val="clear"/>
              <w:autoSpaceDE w:val="0"/>
              <w:autoSpaceDN w:val="0"/>
              <w:adjustRightInd w:val="0"/>
              <w:spacing w:line="360" w:lineRule="exact"/>
              <w:rPr>
                <w:rFonts w:hint="default" w:ascii="宋体" w:hAnsi="宋体" w:eastAsia="宋体" w:cs="宋体"/>
                <w:color w:val="auto"/>
                <w:sz w:val="20"/>
                <w:szCs w:val="20"/>
                <w:highlight w:val="none"/>
                <w:u w:val="single"/>
                <w:lang w:val="en-US" w:eastAsia="zh-CN"/>
              </w:rPr>
            </w:pPr>
            <w:r>
              <w:rPr>
                <w:rFonts w:hint="eastAsia" w:ascii="宋体" w:hAnsi="宋体" w:eastAsia="宋体" w:cs="宋体"/>
                <w:color w:val="auto"/>
                <w:sz w:val="20"/>
                <w:szCs w:val="20"/>
                <w:highlight w:val="none"/>
              </w:rPr>
              <w:t>大写：人民币</w:t>
            </w:r>
            <w:r>
              <w:rPr>
                <w:rFonts w:hint="eastAsia" w:ascii="宋体" w:hAnsi="宋体" w:eastAsia="宋体" w:cs="宋体"/>
                <w:color w:val="auto"/>
                <w:sz w:val="20"/>
                <w:szCs w:val="20"/>
                <w:highlight w:val="none"/>
                <w:u w:val="single"/>
                <w:lang w:val="en-US" w:eastAsia="zh-CN"/>
              </w:rPr>
              <w:t xml:space="preserve">        </w:t>
            </w:r>
          </w:p>
          <w:p w14:paraId="3B820DBF">
            <w:pPr>
              <w:shd w:val="clear"/>
              <w:autoSpaceDE w:val="0"/>
              <w:autoSpaceDN w:val="0"/>
              <w:adjustRightInd w:val="0"/>
              <w:spacing w:line="360" w:lineRule="exact"/>
              <w:rPr>
                <w:rFonts w:hint="default"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rPr>
              <w:t>小写：￥</w:t>
            </w:r>
            <w:r>
              <w:rPr>
                <w:rFonts w:hint="eastAsia" w:ascii="宋体" w:hAnsi="宋体" w:eastAsia="宋体" w:cs="宋体"/>
                <w:color w:val="auto"/>
                <w:sz w:val="20"/>
                <w:szCs w:val="20"/>
                <w:highlight w:val="none"/>
                <w:u w:val="single"/>
                <w:lang w:val="en-US" w:eastAsia="zh-CN"/>
              </w:rPr>
              <w:t xml:space="preserve">        </w:t>
            </w:r>
          </w:p>
          <w:p w14:paraId="005E4ACB">
            <w:pPr>
              <w:shd w:val="clear"/>
              <w:autoSpaceDE w:val="0"/>
              <w:autoSpaceDN w:val="0"/>
              <w:adjustRightInd w:val="0"/>
              <w:spacing w:line="360" w:lineRule="exac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b w:val="0"/>
                <w:bCs/>
                <w:color w:val="auto"/>
                <w:sz w:val="20"/>
                <w:szCs w:val="20"/>
                <w:highlight w:val="none"/>
                <w:lang w:val="en-US" w:eastAsia="zh-CN"/>
              </w:rPr>
              <w:t>（其中税前</w:t>
            </w:r>
            <w:r>
              <w:rPr>
                <w:rFonts w:hint="eastAsia" w:ascii="宋体" w:hAnsi="宋体" w:eastAsia="宋体" w:cs="宋体"/>
                <w:b w:val="0"/>
                <w:bCs/>
                <w:color w:val="auto"/>
                <w:sz w:val="20"/>
                <w:szCs w:val="20"/>
                <w:highlight w:val="none"/>
                <w:lang w:eastAsia="zh-CN"/>
              </w:rPr>
              <w:t>安全生产措施费：</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b w:val="0"/>
                <w:bCs/>
                <w:color w:val="auto"/>
                <w:sz w:val="20"/>
                <w:szCs w:val="20"/>
                <w:highlight w:val="none"/>
                <w:lang w:eastAsia="zh-CN"/>
              </w:rPr>
              <w:t>）</w:t>
            </w:r>
          </w:p>
        </w:tc>
      </w:tr>
    </w:tbl>
    <w:p w14:paraId="3F8F873B">
      <w:pPr>
        <w:shd w:val="clea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投标人签章：__________________</w:t>
      </w:r>
    </w:p>
    <w:p w14:paraId="59678220">
      <w:pPr>
        <w:shd w:val="clea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日期：  年  月  日</w:t>
      </w:r>
    </w:p>
    <w:p w14:paraId="45AACF63">
      <w:pPr>
        <w:rPr>
          <w:color w:val="auto"/>
          <w:highlight w:val="none"/>
        </w:rPr>
      </w:pPr>
    </w:p>
    <w:p w14:paraId="548C4094">
      <w:pPr>
        <w:pStyle w:val="19"/>
        <w:jc w:val="both"/>
        <w:rPr>
          <w:color w:val="auto"/>
          <w:highlight w:val="none"/>
        </w:rPr>
      </w:pPr>
      <w:r>
        <w:rPr>
          <w:color w:val="auto"/>
          <w:highlight w:val="none"/>
        </w:rPr>
        <w:t>采购包1（</w:t>
      </w:r>
      <w:r>
        <w:rPr>
          <w:rFonts w:hint="eastAsia"/>
          <w:color w:val="auto"/>
          <w:highlight w:val="none"/>
          <w:lang w:eastAsia="zh-CN"/>
        </w:rPr>
        <w:t>2025-2028阜沙镇市政绿化管养项目</w:t>
      </w:r>
      <w:r>
        <w:rPr>
          <w:color w:val="auto"/>
          <w:highlight w:val="none"/>
        </w:rPr>
        <w:t>）</w:t>
      </w:r>
      <w:r>
        <w:rPr>
          <w:b/>
          <w:color w:val="auto"/>
          <w:highlight w:val="none"/>
        </w:rPr>
        <w:t>1.主要商务要求</w:t>
      </w:r>
    </w:p>
    <w:tbl>
      <w:tblPr>
        <w:tblStyle w:val="1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4"/>
        <w:gridCol w:w="9178"/>
      </w:tblGrid>
      <w:tr w14:paraId="25B7E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4" w:type="pct"/>
          </w:tcPr>
          <w:p w14:paraId="2EF9E353">
            <w:pPr>
              <w:pStyle w:val="19"/>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标的提供的时间</w:t>
            </w:r>
          </w:p>
        </w:tc>
        <w:tc>
          <w:tcPr>
            <w:tcW w:w="4295" w:type="pct"/>
          </w:tcPr>
          <w:p w14:paraId="55321654">
            <w:pPr>
              <w:pStyle w:val="19"/>
              <w:spacing w:line="360" w:lineRule="auto"/>
              <w:rPr>
                <w:rFonts w:hint="eastAsia" w:ascii="宋体" w:hAnsi="宋体" w:eastAsia="宋体" w:cs="宋体"/>
                <w:color w:val="auto"/>
                <w:sz w:val="20"/>
                <w:szCs w:val="20"/>
                <w:highlight w:val="none"/>
              </w:rPr>
            </w:pPr>
            <w:r>
              <w:rPr>
                <w:rFonts w:hint="eastAsia" w:ascii="宋体" w:hAnsi="宋体" w:eastAsia="宋体" w:cs="宋体"/>
                <w:b w:val="0"/>
                <w:bCs w:val="0"/>
                <w:color w:val="auto"/>
                <w:sz w:val="21"/>
                <w:szCs w:val="21"/>
                <w:highlight w:val="none"/>
                <w:lang w:val="en-US" w:eastAsia="zh-CN"/>
              </w:rPr>
              <w:t>管养期为3年</w:t>
            </w:r>
            <w:r>
              <w:rPr>
                <w:rFonts w:hint="eastAsia" w:ascii="宋体" w:hAnsi="宋体" w:eastAsia="宋体" w:cs="宋体"/>
                <w:b w:val="0"/>
                <w:bCs w:val="0"/>
                <w:color w:val="auto"/>
                <w:sz w:val="21"/>
                <w:szCs w:val="21"/>
                <w:highlight w:val="none"/>
              </w:rPr>
              <w:t>（起始时间以合同约定为准）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管养作业期限以实际交接日期为准。</w:t>
            </w:r>
            <w:r>
              <w:rPr>
                <w:rFonts w:hint="eastAsia"/>
                <w:b w:val="0"/>
                <w:bCs w:val="0"/>
                <w:color w:val="auto"/>
                <w:highlight w:val="none"/>
                <w:lang w:val="en-US" w:eastAsia="zh-CN"/>
              </w:rPr>
              <w:t>本项目</w:t>
            </w:r>
            <w:r>
              <w:rPr>
                <w:rFonts w:hint="eastAsia" w:ascii="宋体" w:hAnsi="宋体" w:eastAsia="宋体" w:cs="宋体"/>
                <w:b w:val="0"/>
                <w:bCs w:val="0"/>
                <w:color w:val="auto"/>
                <w:sz w:val="21"/>
                <w:szCs w:val="21"/>
                <w:highlight w:val="none"/>
              </w:rPr>
              <w:t>合同为一年签订一次。绿化管养合同期限满前一个月，双方需配合续签合同工作。但如因中标人在</w:t>
            </w:r>
            <w:r>
              <w:rPr>
                <w:rFonts w:hint="eastAsia" w:ascii="宋体" w:hAnsi="宋体" w:eastAsia="宋体" w:cs="宋体"/>
                <w:bCs/>
                <w:color w:val="auto"/>
                <w:sz w:val="21"/>
                <w:szCs w:val="21"/>
                <w:highlight w:val="none"/>
              </w:rPr>
              <w:t>管养合同期内管养工作无法达到管养标准要求或经采购人考核不合格或出现中标人违约的情形，采购人有权终止合同，不再续签并追究对方所造成的经济损失。</w:t>
            </w:r>
          </w:p>
        </w:tc>
      </w:tr>
      <w:tr w14:paraId="7F761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4" w:type="pct"/>
          </w:tcPr>
          <w:p w14:paraId="79657174">
            <w:pPr>
              <w:pStyle w:val="19"/>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标的提供的地点</w:t>
            </w:r>
          </w:p>
        </w:tc>
        <w:tc>
          <w:tcPr>
            <w:tcW w:w="4295" w:type="pct"/>
          </w:tcPr>
          <w:p w14:paraId="35762902">
            <w:pPr>
              <w:pStyle w:val="19"/>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中山市阜沙镇</w:t>
            </w:r>
          </w:p>
        </w:tc>
      </w:tr>
      <w:tr w14:paraId="06EC7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4" w:type="pct"/>
          </w:tcPr>
          <w:p w14:paraId="13DE50CA">
            <w:pPr>
              <w:pStyle w:val="19"/>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付款方式</w:t>
            </w:r>
          </w:p>
        </w:tc>
        <w:tc>
          <w:tcPr>
            <w:tcW w:w="4295" w:type="pct"/>
          </w:tcPr>
          <w:p w14:paraId="0473BE32">
            <w:pPr>
              <w:pStyle w:val="19"/>
              <w:spacing w:line="360" w:lineRule="auto"/>
              <w:jc w:val="both"/>
              <w:rPr>
                <w:rFonts w:cs="宋体" w:asciiTheme="minorEastAsia" w:hAnsiTheme="minorEastAsia"/>
                <w:color w:val="auto"/>
                <w:sz w:val="21"/>
                <w:szCs w:val="21"/>
                <w:highlight w:val="none"/>
                <w:lang w:eastAsia="zh-CN"/>
              </w:rPr>
            </w:pPr>
            <w:r>
              <w:rPr>
                <w:rFonts w:cs="宋体" w:asciiTheme="minorEastAsia" w:hAnsiTheme="minorEastAsia"/>
                <w:color w:val="auto"/>
                <w:sz w:val="21"/>
                <w:szCs w:val="21"/>
                <w:highlight w:val="none"/>
              </w:rPr>
              <w:t>1期：支付比例100%</w:t>
            </w:r>
            <w:r>
              <w:rPr>
                <w:rFonts w:cs="宋体" w:asciiTheme="minorEastAsia" w:hAnsiTheme="minorEastAsia"/>
                <w:color w:val="auto"/>
                <w:sz w:val="21"/>
                <w:szCs w:val="21"/>
                <w:highlight w:val="none"/>
                <w:lang w:eastAsia="zh-CN"/>
              </w:rPr>
              <w:t>，</w:t>
            </w:r>
          </w:p>
          <w:p w14:paraId="4478E3D9">
            <w:pPr>
              <w:pStyle w:val="19"/>
              <w:spacing w:line="360" w:lineRule="auto"/>
              <w:jc w:val="both"/>
              <w:rPr>
                <w:rFonts w:hint="eastAsia" w:cs="宋体" w:asciiTheme="minorEastAsia" w:hAnsiTheme="minorEastAsia"/>
                <w:color w:val="auto"/>
                <w:sz w:val="21"/>
                <w:szCs w:val="21"/>
                <w:highlight w:val="none"/>
                <w:lang w:eastAsia="zh-CN"/>
              </w:rPr>
            </w:pPr>
            <w:r>
              <w:rPr>
                <w:rFonts w:hint="eastAsia" w:cs="宋体" w:asciiTheme="minorEastAsia" w:hAnsiTheme="minorEastAsia"/>
                <w:color w:val="auto"/>
                <w:sz w:val="21"/>
                <w:szCs w:val="21"/>
                <w:highlight w:val="none"/>
                <w:lang w:eastAsia="zh-CN"/>
              </w:rPr>
              <w:t>（一）管养费按季度支付。每个季度尾月的25日-31日，采购人依据中标人上报的管养资料【季度验收报告、管养记录等（需附工作图片）】进行实地抽样验收，经采购人验收合格后中标人方可开具本季度管养费发票，报送镇财政分局核实后支付。</w:t>
            </w:r>
          </w:p>
          <w:p w14:paraId="6F7535F3">
            <w:pPr>
              <w:pStyle w:val="19"/>
              <w:spacing w:line="360" w:lineRule="auto"/>
              <w:rPr>
                <w:rFonts w:hint="eastAsia" w:ascii="宋体" w:hAnsi="宋体" w:eastAsia="宋体" w:cs="宋体"/>
                <w:color w:val="auto"/>
                <w:sz w:val="20"/>
                <w:szCs w:val="20"/>
                <w:highlight w:val="none"/>
              </w:rPr>
            </w:pPr>
            <w:r>
              <w:rPr>
                <w:rFonts w:hint="default" w:cs="宋体" w:asciiTheme="minorEastAsia" w:hAnsiTheme="minorEastAsia"/>
                <w:b/>
                <w:bCs/>
                <w:color w:val="auto"/>
                <w:kern w:val="2"/>
                <w:sz w:val="21"/>
                <w:szCs w:val="21"/>
                <w:highlight w:val="none"/>
                <w:lang w:eastAsia="zh-CN"/>
              </w:rPr>
              <w:t>★</w:t>
            </w:r>
            <w:r>
              <w:rPr>
                <w:rFonts w:hint="eastAsia" w:cs="宋体" w:asciiTheme="minorEastAsia" w:hAnsiTheme="minorEastAsia"/>
                <w:b/>
                <w:bCs/>
                <w:color w:val="auto"/>
                <w:sz w:val="21"/>
                <w:szCs w:val="21"/>
                <w:highlight w:val="none"/>
                <w:lang w:eastAsia="zh-CN"/>
              </w:rPr>
              <w:t>（二）投标人须承诺：一旦被确认为中标人，每季度须严格按照采购人的要求上报管养资料，包括：季度验收报告、管养记录等（需附工作图片），若管养资料缺漏，采购人有权拒付该季度管养费。（投标文件提供书面承诺函并加盖投标人公章。）</w:t>
            </w:r>
          </w:p>
        </w:tc>
      </w:tr>
      <w:tr w14:paraId="4C17A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460C1961">
            <w:pPr>
              <w:pStyle w:val="19"/>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如项目发生合同融资，采购人应当将合同款项支付到合同约定收款账户。</w:t>
            </w:r>
          </w:p>
        </w:tc>
      </w:tr>
      <w:tr w14:paraId="606FA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4" w:type="pct"/>
          </w:tcPr>
          <w:p w14:paraId="797F4B20">
            <w:pPr>
              <w:pStyle w:val="19"/>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验收要求</w:t>
            </w:r>
          </w:p>
        </w:tc>
        <w:tc>
          <w:tcPr>
            <w:tcW w:w="4295" w:type="pct"/>
          </w:tcPr>
          <w:p w14:paraId="4E351142">
            <w:pPr>
              <w:pStyle w:val="19"/>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本项目园林绿化综合管养作业参照《园林绿化管养标准》（CJJ/T 287-2018）、《广东省公路绿化树木修剪技术指引(试行)（GDJT 002 - 04 - 2025）》、《公路养护技术标准》（JTG 5110—2023）</w:t>
            </w:r>
            <w:r>
              <w:rPr>
                <w:rFonts w:hint="eastAsia" w:ascii="宋体" w:hAnsi="宋体" w:eastAsia="宋体" w:cs="宋体"/>
                <w:color w:val="auto"/>
                <w:sz w:val="20"/>
                <w:szCs w:val="20"/>
                <w:highlight w:val="none"/>
                <w:lang w:val="en-US" w:eastAsia="zh-CN"/>
              </w:rPr>
              <w:t>等文件</w:t>
            </w:r>
            <w:r>
              <w:rPr>
                <w:rFonts w:hint="eastAsia" w:ascii="宋体" w:hAnsi="宋体" w:eastAsia="宋体" w:cs="宋体"/>
                <w:color w:val="auto"/>
                <w:sz w:val="20"/>
                <w:szCs w:val="20"/>
                <w:highlight w:val="none"/>
                <w:lang w:eastAsia="zh-CN"/>
              </w:rPr>
              <w:t>执行，采购人根据《2025-2028阜沙镇市政绿化管养项目考核评分表》进行园林绿化综合管养作业质量检查考核，检查考核的结果作为对园林绿化综合管养作业服务质量评价、园林绿化综合管养作业费支付的依据。</w:t>
            </w:r>
          </w:p>
        </w:tc>
      </w:tr>
      <w:tr w14:paraId="7AD9B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4" w:type="pct"/>
          </w:tcPr>
          <w:p w14:paraId="2A42E82A">
            <w:pPr>
              <w:pStyle w:val="19"/>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履约保证金</w:t>
            </w:r>
          </w:p>
        </w:tc>
        <w:tc>
          <w:tcPr>
            <w:tcW w:w="4295" w:type="pct"/>
          </w:tcPr>
          <w:p w14:paraId="059BAC40">
            <w:pPr>
              <w:pStyle w:val="19"/>
              <w:spacing w:line="360" w:lineRule="auto"/>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收取比例：</w:t>
            </w:r>
            <w:r>
              <w:rPr>
                <w:rFonts w:hint="eastAsia" w:ascii="宋体" w:hAnsi="宋体" w:eastAsia="宋体" w:cs="宋体"/>
                <w:color w:val="auto"/>
                <w:sz w:val="20"/>
                <w:szCs w:val="20"/>
                <w:highlight w:val="none"/>
              </w:rPr>
              <w:t>6%</w:t>
            </w:r>
            <w:r>
              <w:rPr>
                <w:rFonts w:hint="eastAsia"/>
                <w:color w:val="auto"/>
                <w:highlight w:val="none"/>
                <w:lang w:eastAsia="zh-CN"/>
              </w:rPr>
              <w:t>（</w:t>
            </w:r>
            <w:r>
              <w:rPr>
                <w:rFonts w:hint="eastAsia"/>
                <w:color w:val="auto"/>
                <w:highlight w:val="none"/>
                <w:lang w:val="en-US" w:eastAsia="zh-CN"/>
              </w:rPr>
              <w:t>中小企业为5%)</w:t>
            </w:r>
          </w:p>
          <w:p w14:paraId="3D185C72">
            <w:pPr>
              <w:spacing w:line="360" w:lineRule="auto"/>
              <w:jc w:val="both"/>
              <w:rPr>
                <w:color w:val="auto"/>
                <w:highlight w:val="none"/>
              </w:rPr>
            </w:pPr>
            <w:r>
              <w:rPr>
                <w:rFonts w:hint="eastAsia" w:ascii="宋体" w:hAnsi="宋体" w:eastAsia="宋体" w:cs="宋体"/>
                <w:color w:val="auto"/>
                <w:sz w:val="20"/>
                <w:szCs w:val="20"/>
                <w:highlight w:val="none"/>
                <w:lang w:eastAsia="zh-CN"/>
              </w:rPr>
              <w:t>缴费渠道：</w:t>
            </w:r>
            <w:r>
              <w:rPr>
                <w:rFonts w:hint="eastAsia" w:ascii="宋体" w:hAnsi="宋体" w:eastAsia="宋体" w:cs="宋体"/>
                <w:color w:val="auto"/>
                <w:sz w:val="20"/>
                <w:szCs w:val="20"/>
                <w:highlight w:val="none"/>
                <w:lang w:val="en-US" w:eastAsia="zh-CN"/>
              </w:rPr>
              <w:t>现金转账或银行</w:t>
            </w:r>
            <w:r>
              <w:rPr>
                <w:rFonts w:hint="eastAsia" w:ascii="宋体" w:hAnsi="宋体" w:eastAsia="宋体" w:cs="宋体"/>
                <w:color w:val="auto"/>
                <w:sz w:val="20"/>
                <w:szCs w:val="20"/>
                <w:highlight w:val="none"/>
                <w:lang w:eastAsia="zh-CN"/>
              </w:rPr>
              <w:t>保函（保险）</w:t>
            </w:r>
          </w:p>
          <w:p w14:paraId="08C473AF">
            <w:pPr>
              <w:pStyle w:val="19"/>
              <w:rPr>
                <w:color w:val="auto"/>
                <w:highlight w:val="none"/>
              </w:rPr>
            </w:pPr>
            <w:r>
              <w:rPr>
                <w:color w:val="auto"/>
                <w:highlight w:val="none"/>
              </w:rPr>
              <w:t>账号：</w:t>
            </w:r>
          </w:p>
          <w:p w14:paraId="33AF9704">
            <w:pPr>
              <w:pStyle w:val="19"/>
              <w:rPr>
                <w:color w:val="auto"/>
                <w:highlight w:val="none"/>
              </w:rPr>
            </w:pPr>
            <w:r>
              <w:rPr>
                <w:color w:val="auto"/>
                <w:highlight w:val="none"/>
              </w:rPr>
              <w:t>户名：</w:t>
            </w:r>
          </w:p>
          <w:p w14:paraId="168DA331">
            <w:pPr>
              <w:pStyle w:val="19"/>
              <w:rPr>
                <w:color w:val="auto"/>
                <w:highlight w:val="none"/>
              </w:rPr>
            </w:pPr>
            <w:r>
              <w:rPr>
                <w:color w:val="auto"/>
                <w:highlight w:val="none"/>
              </w:rPr>
              <w:t>开户行：</w:t>
            </w:r>
          </w:p>
          <w:p w14:paraId="4EF40A55">
            <w:pPr>
              <w:pStyle w:val="19"/>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说明：中标人收到中标通知书后，在签订合同书前须向采购人提交履约保证金，金额按年度合同价的6%</w:t>
            </w:r>
            <w:r>
              <w:rPr>
                <w:rFonts w:hint="eastAsia"/>
                <w:color w:val="auto"/>
                <w:highlight w:val="none"/>
                <w:lang w:val="en-US" w:eastAsia="zh-CN"/>
              </w:rPr>
              <w:t>(中小企业为5%)作为履约保证金</w:t>
            </w:r>
            <w:r>
              <w:rPr>
                <w:rFonts w:hint="eastAsia" w:ascii="宋体" w:hAnsi="宋体" w:eastAsia="宋体" w:cs="宋体"/>
                <w:color w:val="auto"/>
                <w:sz w:val="20"/>
                <w:szCs w:val="20"/>
                <w:highlight w:val="none"/>
              </w:rPr>
              <w:t>（现金转账或银行保函形式）。该履约保证金在项目合同服务期满后，采购人核实中标人没有违反合同、招标文件约定条款后1个月内无息退还给中标人。合同服务期间，如中标人存在不履行合同或未按照要求提供服务的，采购人有权按情节轻重在履约保证金中直接扣收中标人违约金，并书面告知中标人。中标人在收到采购人书面通知后5个工作日内把被采购人抵扣部分的合同履约保证金重新补足予采购人，如中标人逾期仍未补足合同履约保证金，采购人有权单方面解除合同，剩余的合同履约保证金作为违约金赔偿给采购人，采购人之损失超过剩余合同履约保证金的，采购人仍有权向中标人追索（包括采购人遭受到的第三方索赔、律师费、行政处罚金等）。如中标人严重违反招标文件要求或本合同约定的，采购人有权单方解除本合同，没收中标人履约保证金，且有权向中标人追索（包括采购人遭受到的第三方索赔、律师费、行政处罚金等）。</w:t>
            </w:r>
          </w:p>
          <w:p w14:paraId="255C78B0">
            <w:pPr>
              <w:pStyle w:val="19"/>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履约保证金可以以履约保函（保险）形式提供，目前"广东政府采购智慧云平台金融服务中心(https://gdgpo.czt.gd.gov.cn/zcdservice/zcd/guangdong/)已实现电子履约保函（保险）在线办理功能，有意愿供应商可自行办理提供。</w:t>
            </w:r>
          </w:p>
        </w:tc>
      </w:tr>
      <w:tr w14:paraId="143E7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4" w:type="pct"/>
          </w:tcPr>
          <w:p w14:paraId="4A10A78E">
            <w:pPr>
              <w:pStyle w:val="19"/>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w:t>
            </w:r>
          </w:p>
        </w:tc>
        <w:tc>
          <w:tcPr>
            <w:tcW w:w="4295" w:type="pct"/>
          </w:tcPr>
          <w:p w14:paraId="0D04C2DB">
            <w:pPr>
              <w:pStyle w:val="19"/>
              <w:spacing w:line="360" w:lineRule="auto"/>
              <w:rPr>
                <w:rFonts w:hint="eastAsia" w:ascii="宋体" w:hAnsi="宋体" w:eastAsia="宋体" w:cs="宋体"/>
                <w:color w:val="auto"/>
                <w:kern w:val="2"/>
                <w:sz w:val="20"/>
                <w:szCs w:val="20"/>
                <w:highlight w:val="none"/>
                <w:lang w:eastAsia="zh-CN"/>
              </w:rPr>
            </w:pPr>
            <w:r>
              <w:rPr>
                <w:rFonts w:hint="eastAsia" w:ascii="宋体" w:hAnsi="宋体" w:eastAsia="宋体" w:cs="宋体"/>
                <w:color w:val="auto"/>
                <w:kern w:val="2"/>
                <w:sz w:val="20"/>
                <w:szCs w:val="20"/>
                <w:highlight w:val="none"/>
                <w:lang w:eastAsia="zh-CN"/>
              </w:rPr>
              <w:t>报价说明，</w:t>
            </w:r>
          </w:p>
          <w:p w14:paraId="0F2B7B47">
            <w:pPr>
              <w:pStyle w:val="19"/>
              <w:spacing w:line="360" w:lineRule="auto"/>
              <w:rPr>
                <w:rFonts w:hint="eastAsia" w:ascii="宋体" w:hAnsi="宋体" w:eastAsia="宋体" w:cs="宋体"/>
                <w:b/>
                <w:bCs/>
                <w:color w:val="auto"/>
                <w:kern w:val="2"/>
                <w:sz w:val="20"/>
                <w:szCs w:val="20"/>
                <w:highlight w:val="none"/>
                <w:lang w:val="en-US" w:eastAsia="zh-CN"/>
              </w:rPr>
            </w:pPr>
            <w:r>
              <w:rPr>
                <w:rFonts w:hint="eastAsia" w:ascii="宋体" w:hAnsi="宋体" w:eastAsia="宋体" w:cs="宋体"/>
                <w:b/>
                <w:bCs/>
                <w:color w:val="auto"/>
                <w:kern w:val="2"/>
                <w:sz w:val="20"/>
                <w:szCs w:val="20"/>
                <w:highlight w:val="none"/>
                <w:lang w:val="en-US" w:eastAsia="zh-CN"/>
              </w:rPr>
              <w:t>★1.本项目中介预算价为5,494,209.27元，按中介预算价下浮20%作为本项目采购的报价上限价，即上限价为4,395,367.42元（三年），其中税前安全生产措施费为186,458.68元（三年）。投标人总报价不得高于本项目报价上限价4,395,367.42元（三年）且税前安全生产措施费不得低于186,458.68元（三年），否则视为无效报价。</w:t>
            </w:r>
          </w:p>
          <w:p w14:paraId="10DE3CD8">
            <w:pPr>
              <w:pStyle w:val="19"/>
              <w:spacing w:line="360" w:lineRule="auto"/>
              <w:rPr>
                <w:rFonts w:hint="eastAsia" w:ascii="宋体" w:hAnsi="宋体" w:eastAsia="宋体" w:cs="宋体"/>
                <w:b/>
                <w:bCs/>
                <w:color w:val="auto"/>
                <w:kern w:val="2"/>
                <w:sz w:val="20"/>
                <w:szCs w:val="20"/>
                <w:highlight w:val="none"/>
                <w:lang w:eastAsia="zh-CN"/>
              </w:rPr>
            </w:pPr>
            <w:r>
              <w:rPr>
                <w:rFonts w:hint="eastAsia" w:ascii="宋体" w:hAnsi="宋体" w:eastAsia="宋体" w:cs="宋体"/>
                <w:b/>
                <w:bCs/>
                <w:color w:val="auto"/>
                <w:kern w:val="2"/>
                <w:sz w:val="20"/>
                <w:szCs w:val="20"/>
                <w:highlight w:val="none"/>
                <w:lang w:val="en-US" w:eastAsia="zh-CN"/>
              </w:rPr>
              <w:t>★2.投标人在投标文件中须按采购人提供的工程量清单格式内容编制分项报价，不得擅自修改工程量；并按采购需求“一、项目概况/（十六）《分项报价表》”格式分别报出一年的投标报价及税前安全生产措施</w:t>
            </w:r>
            <w:r>
              <w:rPr>
                <w:rFonts w:hint="eastAsia" w:ascii="宋体" w:hAnsi="宋体" w:eastAsia="宋体" w:cs="宋体"/>
                <w:b/>
                <w:bCs/>
                <w:color w:val="auto"/>
                <w:kern w:val="2"/>
                <w:sz w:val="20"/>
                <w:szCs w:val="20"/>
                <w:highlight w:val="none"/>
                <w:lang w:eastAsia="zh-CN"/>
              </w:rPr>
              <w:t>费、三年投标总报价及</w:t>
            </w:r>
            <w:r>
              <w:rPr>
                <w:rFonts w:hint="eastAsia" w:ascii="宋体" w:hAnsi="宋体" w:eastAsia="宋体" w:cs="宋体"/>
                <w:b/>
                <w:bCs/>
                <w:color w:val="auto"/>
                <w:kern w:val="2"/>
                <w:sz w:val="20"/>
                <w:szCs w:val="20"/>
                <w:highlight w:val="none"/>
                <w:lang w:val="en-US" w:eastAsia="zh-CN"/>
              </w:rPr>
              <w:t>三年税前</w:t>
            </w:r>
            <w:r>
              <w:rPr>
                <w:rFonts w:hint="eastAsia" w:ascii="宋体" w:hAnsi="宋体" w:eastAsia="宋体" w:cs="宋体"/>
                <w:b/>
                <w:bCs/>
                <w:color w:val="auto"/>
                <w:kern w:val="2"/>
                <w:sz w:val="20"/>
                <w:szCs w:val="20"/>
                <w:highlight w:val="none"/>
                <w:lang w:eastAsia="zh-CN"/>
              </w:rPr>
              <w:t>安全生产措施费，</w:t>
            </w:r>
            <w:r>
              <w:rPr>
                <w:rFonts w:hint="eastAsia" w:ascii="宋体" w:hAnsi="宋体" w:eastAsia="宋体" w:cs="宋体"/>
                <w:b/>
                <w:bCs/>
                <w:color w:val="auto"/>
                <w:kern w:val="2"/>
                <w:sz w:val="20"/>
                <w:szCs w:val="20"/>
                <w:highlight w:val="none"/>
                <w:lang w:val="en-US" w:eastAsia="zh-CN"/>
              </w:rPr>
              <w:t>将此表</w:t>
            </w:r>
            <w:r>
              <w:rPr>
                <w:rFonts w:hint="eastAsia" w:ascii="宋体" w:hAnsi="宋体" w:eastAsia="宋体" w:cs="宋体"/>
                <w:b/>
                <w:bCs/>
                <w:color w:val="auto"/>
                <w:kern w:val="2"/>
                <w:sz w:val="20"/>
                <w:szCs w:val="20"/>
                <w:highlight w:val="none"/>
                <w:lang w:eastAsia="zh-CN"/>
              </w:rPr>
              <w:t>附在投标文件中。</w:t>
            </w:r>
          </w:p>
          <w:p w14:paraId="0ABB3FC2">
            <w:pPr>
              <w:pStyle w:val="19"/>
              <w:numPr>
                <w:ilvl w:val="0"/>
                <w:numId w:val="0"/>
              </w:num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Hans"/>
              </w:rPr>
              <w:t>3.</w:t>
            </w:r>
            <w:r>
              <w:rPr>
                <w:rFonts w:hint="eastAsia" w:ascii="宋体" w:hAnsi="宋体" w:eastAsia="宋体" w:cs="宋体"/>
                <w:color w:val="auto"/>
                <w:sz w:val="20"/>
                <w:szCs w:val="20"/>
                <w:highlight w:val="none"/>
              </w:rPr>
              <w:t>本项目为总价包干承包方式。中标人承包及负责招标文件对中标人要求的一切事宜及责任。承包价包括人员费用（含工资、奖金、房补、劳保福利、养老、医疗、工伤及教育培训费、暂住费用、保险、处理一切伤亡事故等费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生产资料费用（含肥料、农药、水费、工具、机械设备、燃料、更新和补植苗木、白蚁防治、管养所产生的废弃物及垃圾的清运等配套设施维修及其它材料费用）、安全文明生产装备费、防台风等自然灾害的园林绿化应急处理</w:t>
            </w:r>
            <w:r>
              <w:rPr>
                <w:rFonts w:hint="eastAsia" w:ascii="宋体" w:hAnsi="宋体" w:eastAsia="宋体" w:cs="宋体"/>
                <w:color w:val="auto"/>
                <w:sz w:val="20"/>
                <w:szCs w:val="20"/>
                <w:highlight w:val="none"/>
                <w:lang w:eastAsia="zh-CN"/>
              </w:rPr>
              <w:t>、</w:t>
            </w:r>
            <w:r>
              <w:rPr>
                <w:rStyle w:val="14"/>
                <w:rFonts w:hint="eastAsia" w:ascii="宋体" w:hAnsi="宋体" w:eastAsia="宋体" w:cs="宋体"/>
                <w:color w:val="auto"/>
                <w:kern w:val="0"/>
                <w:sz w:val="20"/>
                <w:szCs w:val="20"/>
                <w:highlight w:val="none"/>
                <w:lang w:eastAsia="zh-CN"/>
              </w:rPr>
              <w:t>“三防”</w:t>
            </w:r>
            <w:r>
              <w:rPr>
                <w:rFonts w:hint="eastAsia" w:ascii="宋体" w:hAnsi="宋体" w:eastAsia="宋体" w:cs="宋体"/>
                <w:color w:val="auto"/>
                <w:sz w:val="20"/>
                <w:szCs w:val="20"/>
                <w:highlight w:val="none"/>
              </w:rPr>
              <w:t>工作</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重大展会活动和重要节假日及各类创建、迎检的城市园林绿化强化维护费用、其它业务和管理费用、办公费用、委托范围的公众责任险保险费、税金、中标人合法利润以及由综合管养作业产生的其它全部费用。</w:t>
            </w:r>
          </w:p>
          <w:p w14:paraId="1960BCCD">
            <w:pPr>
              <w:pStyle w:val="19"/>
              <w:numPr>
                <w:ilvl w:val="0"/>
                <w:numId w:val="0"/>
              </w:numPr>
              <w:spacing w:line="360" w:lineRule="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lang w:val="en-US" w:eastAsia="zh-CN"/>
              </w:rPr>
              <w:t>4</w:t>
            </w:r>
            <w:r>
              <w:rPr>
                <w:rFonts w:hint="eastAsia" w:ascii="宋体" w:hAnsi="宋体" w:eastAsia="宋体" w:cs="宋体"/>
                <w:b/>
                <w:bCs/>
                <w:color w:val="auto"/>
                <w:sz w:val="20"/>
                <w:szCs w:val="20"/>
                <w:highlight w:val="none"/>
              </w:rPr>
              <w:t>.公众责任险：中标人签订采购合同起 30 个日历天内为管养范围的园林绿化购买公众责任险，合同期间，因发生树木倒伏、折断或树枝及果实坠落等情况，导致中标人的工作人员或其他人的人身、财产损害的，事故所引发的所有法律责任由中标人承担。（投标文件中提供承诺函并加盖公章，承诺函格式自拟）</w:t>
            </w:r>
          </w:p>
        </w:tc>
      </w:tr>
    </w:tbl>
    <w:p w14:paraId="38A9C8EA">
      <w:pPr>
        <w:pStyle w:val="19"/>
        <w:rPr>
          <w:color w:val="auto"/>
          <w:highlight w:val="none"/>
        </w:rPr>
      </w:pPr>
      <w:r>
        <w:rPr>
          <w:b/>
          <w:color w:val="auto"/>
          <w:highlight w:val="none"/>
        </w:rPr>
        <w:t>2.技术标准与要求</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1"/>
        <w:gridCol w:w="880"/>
        <w:gridCol w:w="1376"/>
        <w:gridCol w:w="514"/>
        <w:gridCol w:w="730"/>
        <w:gridCol w:w="1390"/>
        <w:gridCol w:w="1330"/>
        <w:gridCol w:w="1080"/>
        <w:gridCol w:w="751"/>
      </w:tblGrid>
      <w:tr w14:paraId="5C753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71" w:type="dxa"/>
          </w:tcPr>
          <w:p w14:paraId="28DACB62">
            <w:pPr>
              <w:pStyle w:val="19"/>
              <w:jc w:val="center"/>
              <w:rPr>
                <w:color w:val="auto"/>
                <w:highlight w:val="none"/>
              </w:rPr>
            </w:pPr>
            <w:r>
              <w:rPr>
                <w:color w:val="auto"/>
                <w:highlight w:val="none"/>
              </w:rPr>
              <w:t>序号</w:t>
            </w:r>
          </w:p>
        </w:tc>
        <w:tc>
          <w:tcPr>
            <w:tcW w:w="880" w:type="dxa"/>
          </w:tcPr>
          <w:p w14:paraId="4297B80F">
            <w:pPr>
              <w:pStyle w:val="19"/>
              <w:jc w:val="center"/>
              <w:rPr>
                <w:color w:val="auto"/>
                <w:highlight w:val="none"/>
              </w:rPr>
            </w:pPr>
            <w:r>
              <w:rPr>
                <w:color w:val="auto"/>
                <w:highlight w:val="none"/>
              </w:rPr>
              <w:t>品目名称</w:t>
            </w:r>
          </w:p>
        </w:tc>
        <w:tc>
          <w:tcPr>
            <w:tcW w:w="1376" w:type="dxa"/>
          </w:tcPr>
          <w:p w14:paraId="18ED012C">
            <w:pPr>
              <w:pStyle w:val="19"/>
              <w:jc w:val="center"/>
              <w:rPr>
                <w:color w:val="auto"/>
                <w:highlight w:val="none"/>
              </w:rPr>
            </w:pPr>
            <w:r>
              <w:rPr>
                <w:color w:val="auto"/>
                <w:highlight w:val="none"/>
              </w:rPr>
              <w:t>标的名称</w:t>
            </w:r>
          </w:p>
        </w:tc>
        <w:tc>
          <w:tcPr>
            <w:tcW w:w="514" w:type="dxa"/>
          </w:tcPr>
          <w:p w14:paraId="58FC280E">
            <w:pPr>
              <w:pStyle w:val="19"/>
              <w:jc w:val="center"/>
              <w:rPr>
                <w:color w:val="auto"/>
                <w:highlight w:val="none"/>
              </w:rPr>
            </w:pPr>
            <w:r>
              <w:rPr>
                <w:color w:val="auto"/>
                <w:highlight w:val="none"/>
              </w:rPr>
              <w:t>单位</w:t>
            </w:r>
          </w:p>
        </w:tc>
        <w:tc>
          <w:tcPr>
            <w:tcW w:w="730" w:type="dxa"/>
          </w:tcPr>
          <w:p w14:paraId="1056C631">
            <w:pPr>
              <w:pStyle w:val="19"/>
              <w:jc w:val="center"/>
              <w:rPr>
                <w:color w:val="auto"/>
                <w:highlight w:val="none"/>
              </w:rPr>
            </w:pPr>
            <w:r>
              <w:rPr>
                <w:color w:val="auto"/>
                <w:highlight w:val="none"/>
              </w:rPr>
              <w:t>数量</w:t>
            </w:r>
          </w:p>
        </w:tc>
        <w:tc>
          <w:tcPr>
            <w:tcW w:w="1390" w:type="dxa"/>
          </w:tcPr>
          <w:p w14:paraId="0E7D8E27">
            <w:pPr>
              <w:pStyle w:val="19"/>
              <w:jc w:val="center"/>
              <w:rPr>
                <w:color w:val="auto"/>
                <w:highlight w:val="none"/>
              </w:rPr>
            </w:pPr>
            <w:r>
              <w:rPr>
                <w:color w:val="auto"/>
                <w:highlight w:val="none"/>
              </w:rPr>
              <w:t>分项预算单价（元）</w:t>
            </w:r>
          </w:p>
        </w:tc>
        <w:tc>
          <w:tcPr>
            <w:tcW w:w="1330" w:type="dxa"/>
          </w:tcPr>
          <w:p w14:paraId="229EBF5B">
            <w:pPr>
              <w:pStyle w:val="19"/>
              <w:jc w:val="center"/>
              <w:rPr>
                <w:color w:val="auto"/>
                <w:highlight w:val="none"/>
              </w:rPr>
            </w:pPr>
            <w:r>
              <w:rPr>
                <w:color w:val="auto"/>
                <w:highlight w:val="none"/>
              </w:rPr>
              <w:t>分项预算总价（元）</w:t>
            </w:r>
          </w:p>
        </w:tc>
        <w:tc>
          <w:tcPr>
            <w:tcW w:w="1080" w:type="dxa"/>
          </w:tcPr>
          <w:p w14:paraId="15724C7B">
            <w:pPr>
              <w:pStyle w:val="19"/>
              <w:rPr>
                <w:color w:val="auto"/>
                <w:highlight w:val="none"/>
              </w:rPr>
            </w:pPr>
            <w:r>
              <w:rPr>
                <w:color w:val="auto"/>
                <w:highlight w:val="none"/>
              </w:rPr>
              <w:t>所属行业</w:t>
            </w:r>
          </w:p>
        </w:tc>
        <w:tc>
          <w:tcPr>
            <w:tcW w:w="751" w:type="dxa"/>
          </w:tcPr>
          <w:p w14:paraId="027A857D">
            <w:pPr>
              <w:pStyle w:val="19"/>
              <w:jc w:val="center"/>
              <w:rPr>
                <w:color w:val="auto"/>
                <w:highlight w:val="none"/>
              </w:rPr>
            </w:pPr>
            <w:r>
              <w:rPr>
                <w:color w:val="auto"/>
                <w:highlight w:val="none"/>
              </w:rPr>
              <w:t>技术要求</w:t>
            </w:r>
          </w:p>
        </w:tc>
      </w:tr>
      <w:tr w14:paraId="29C66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1" w:type="dxa"/>
          </w:tcPr>
          <w:p w14:paraId="763EBCA9">
            <w:pPr>
              <w:pStyle w:val="19"/>
              <w:jc w:val="center"/>
              <w:rPr>
                <w:color w:val="auto"/>
                <w:highlight w:val="none"/>
              </w:rPr>
            </w:pPr>
            <w:r>
              <w:rPr>
                <w:color w:val="auto"/>
                <w:highlight w:val="none"/>
              </w:rPr>
              <w:t>1</w:t>
            </w:r>
          </w:p>
        </w:tc>
        <w:tc>
          <w:tcPr>
            <w:tcW w:w="880" w:type="dxa"/>
          </w:tcPr>
          <w:p w14:paraId="53CA1D93">
            <w:pPr>
              <w:pStyle w:val="19"/>
              <w:jc w:val="left"/>
              <w:rPr>
                <w:color w:val="auto"/>
                <w:highlight w:val="none"/>
              </w:rPr>
            </w:pPr>
            <w:r>
              <w:rPr>
                <w:color w:val="auto"/>
                <w:highlight w:val="none"/>
              </w:rPr>
              <w:t>园林绿化管理服务</w:t>
            </w:r>
          </w:p>
        </w:tc>
        <w:tc>
          <w:tcPr>
            <w:tcW w:w="1376" w:type="dxa"/>
          </w:tcPr>
          <w:p w14:paraId="35BFD7BE">
            <w:pPr>
              <w:pStyle w:val="19"/>
              <w:jc w:val="left"/>
              <w:rPr>
                <w:rFonts w:hint="eastAsia" w:eastAsiaTheme="minorEastAsia"/>
                <w:color w:val="auto"/>
                <w:highlight w:val="none"/>
                <w:lang w:eastAsia="zh-CN"/>
              </w:rPr>
            </w:pPr>
            <w:r>
              <w:rPr>
                <w:rFonts w:hint="eastAsia"/>
                <w:color w:val="auto"/>
                <w:highlight w:val="none"/>
                <w:lang w:eastAsia="zh-CN"/>
              </w:rPr>
              <w:t>2025-2028阜沙镇市政绿化管养项目</w:t>
            </w:r>
          </w:p>
        </w:tc>
        <w:tc>
          <w:tcPr>
            <w:tcW w:w="514" w:type="dxa"/>
          </w:tcPr>
          <w:p w14:paraId="6FE2914E">
            <w:pPr>
              <w:pStyle w:val="19"/>
              <w:jc w:val="left"/>
              <w:rPr>
                <w:color w:val="auto"/>
                <w:highlight w:val="none"/>
              </w:rPr>
            </w:pPr>
            <w:r>
              <w:rPr>
                <w:color w:val="auto"/>
                <w:highlight w:val="none"/>
              </w:rPr>
              <w:t>项</w:t>
            </w:r>
          </w:p>
        </w:tc>
        <w:tc>
          <w:tcPr>
            <w:tcW w:w="730" w:type="dxa"/>
          </w:tcPr>
          <w:p w14:paraId="620C81A1">
            <w:pPr>
              <w:pStyle w:val="19"/>
              <w:jc w:val="center"/>
              <w:rPr>
                <w:color w:val="auto"/>
                <w:highlight w:val="none"/>
              </w:rPr>
            </w:pPr>
            <w:r>
              <w:rPr>
                <w:color w:val="auto"/>
                <w:highlight w:val="none"/>
              </w:rPr>
              <w:t>1.00</w:t>
            </w:r>
          </w:p>
        </w:tc>
        <w:tc>
          <w:tcPr>
            <w:tcW w:w="1390" w:type="dxa"/>
          </w:tcPr>
          <w:p w14:paraId="606E38C9">
            <w:pPr>
              <w:pStyle w:val="19"/>
              <w:jc w:val="right"/>
              <w:rPr>
                <w:rFonts w:hint="eastAsia" w:eastAsiaTheme="minorEastAsia"/>
                <w:color w:val="auto"/>
                <w:highlight w:val="none"/>
                <w:lang w:eastAsia="zh-CN"/>
              </w:rPr>
            </w:pPr>
            <w:r>
              <w:rPr>
                <w:rFonts w:hint="eastAsia"/>
                <w:color w:val="auto"/>
                <w:highlight w:val="none"/>
                <w:lang w:eastAsia="zh-CN"/>
              </w:rPr>
              <w:t>4,395,367.42</w:t>
            </w:r>
          </w:p>
        </w:tc>
        <w:tc>
          <w:tcPr>
            <w:tcW w:w="1330" w:type="dxa"/>
          </w:tcPr>
          <w:p w14:paraId="57A4B8D3">
            <w:pPr>
              <w:pStyle w:val="19"/>
              <w:jc w:val="right"/>
              <w:rPr>
                <w:rFonts w:hint="eastAsia" w:eastAsiaTheme="minorEastAsia"/>
                <w:color w:val="auto"/>
                <w:highlight w:val="none"/>
                <w:lang w:eastAsia="zh-CN"/>
              </w:rPr>
            </w:pPr>
            <w:r>
              <w:rPr>
                <w:rFonts w:hint="eastAsia"/>
                <w:color w:val="auto"/>
                <w:highlight w:val="none"/>
                <w:lang w:eastAsia="zh-CN"/>
              </w:rPr>
              <w:t>4,395,367.42</w:t>
            </w:r>
          </w:p>
        </w:tc>
        <w:tc>
          <w:tcPr>
            <w:tcW w:w="1080" w:type="dxa"/>
          </w:tcPr>
          <w:p w14:paraId="25DA31FB">
            <w:pPr>
              <w:pStyle w:val="19"/>
              <w:rPr>
                <w:color w:val="auto"/>
                <w:highlight w:val="none"/>
              </w:rPr>
            </w:pPr>
            <w:r>
              <w:rPr>
                <w:color w:val="auto"/>
                <w:highlight w:val="none"/>
              </w:rPr>
              <w:t>其他未列明行业</w:t>
            </w:r>
          </w:p>
        </w:tc>
        <w:tc>
          <w:tcPr>
            <w:tcW w:w="751" w:type="dxa"/>
          </w:tcPr>
          <w:p w14:paraId="7E5BAB77">
            <w:pPr>
              <w:pStyle w:val="19"/>
              <w:rPr>
                <w:color w:val="auto"/>
                <w:highlight w:val="none"/>
              </w:rPr>
            </w:pPr>
            <w:r>
              <w:rPr>
                <w:color w:val="auto"/>
                <w:highlight w:val="none"/>
              </w:rPr>
              <w:t>详见附表一</w:t>
            </w:r>
          </w:p>
        </w:tc>
      </w:tr>
    </w:tbl>
    <w:p w14:paraId="6EA7A5CF">
      <w:pPr>
        <w:pStyle w:val="19"/>
        <w:rPr>
          <w:rFonts w:hint="eastAsia" w:eastAsiaTheme="minorEastAsia"/>
          <w:color w:val="auto"/>
          <w:highlight w:val="none"/>
          <w:lang w:eastAsia="zh-CN"/>
        </w:rPr>
      </w:pPr>
      <w:r>
        <w:rPr>
          <w:b/>
          <w:color w:val="auto"/>
          <w:highlight w:val="none"/>
        </w:rPr>
        <w:t>附表一：</w:t>
      </w:r>
      <w:r>
        <w:rPr>
          <w:rFonts w:hint="eastAsia"/>
          <w:b/>
          <w:color w:val="auto"/>
          <w:highlight w:val="none"/>
          <w:lang w:eastAsia="zh-CN"/>
        </w:rPr>
        <w:t>2025-2028阜沙镇市政绿化管养项目</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7354"/>
      </w:tblGrid>
      <w:tr w14:paraId="70BA5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774F3AF">
            <w:pPr>
              <w:pStyle w:val="1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参数性质</w:t>
            </w:r>
          </w:p>
        </w:tc>
        <w:tc>
          <w:tcPr>
            <w:tcW w:w="415" w:type="dxa"/>
          </w:tcPr>
          <w:p w14:paraId="707A8308">
            <w:pPr>
              <w:pStyle w:val="1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5814" w:type="dxa"/>
          </w:tcPr>
          <w:p w14:paraId="1373F4F8">
            <w:pPr>
              <w:pStyle w:val="1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具体技术(参数)要求</w:t>
            </w:r>
          </w:p>
        </w:tc>
      </w:tr>
      <w:tr w14:paraId="04EE7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220BA72">
            <w:pPr>
              <w:pStyle w:val="19"/>
              <w:rPr>
                <w:rFonts w:hint="eastAsia" w:ascii="宋体" w:hAnsi="宋体" w:eastAsia="宋体" w:cs="宋体"/>
                <w:color w:val="auto"/>
                <w:sz w:val="20"/>
                <w:szCs w:val="20"/>
                <w:highlight w:val="none"/>
              </w:rPr>
            </w:pPr>
          </w:p>
        </w:tc>
        <w:tc>
          <w:tcPr>
            <w:tcW w:w="415" w:type="dxa"/>
          </w:tcPr>
          <w:p w14:paraId="59C2CDC6">
            <w:pPr>
              <w:pStyle w:val="1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5814" w:type="dxa"/>
          </w:tcPr>
          <w:p w14:paraId="5A6521C5">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auto"/>
                <w:kern w:val="44"/>
                <w:sz w:val="20"/>
                <w:szCs w:val="20"/>
                <w:highlight w:val="none"/>
              </w:rPr>
            </w:pPr>
            <w:r>
              <w:rPr>
                <w:rFonts w:hint="eastAsia" w:ascii="宋体" w:hAnsi="宋体" w:eastAsia="宋体" w:cs="宋体"/>
                <w:color w:val="auto"/>
                <w:kern w:val="44"/>
                <w:sz w:val="20"/>
                <w:szCs w:val="20"/>
                <w:highlight w:val="none"/>
                <w:lang w:eastAsia="zh-CN"/>
              </w:rPr>
              <w:t>一</w:t>
            </w:r>
            <w:r>
              <w:rPr>
                <w:rFonts w:hint="eastAsia" w:ascii="宋体" w:hAnsi="宋体" w:eastAsia="宋体" w:cs="宋体"/>
                <w:color w:val="auto"/>
                <w:kern w:val="44"/>
                <w:sz w:val="20"/>
                <w:szCs w:val="20"/>
                <w:highlight w:val="none"/>
              </w:rPr>
              <w:t>、管养内容</w:t>
            </w:r>
          </w:p>
          <w:p w14:paraId="1CA6240E">
            <w:pPr>
              <w:pageBreakBefore w:val="0"/>
              <w:kinsoku/>
              <w:wordWrap/>
              <w:overflowPunct/>
              <w:topLinePunct w:val="0"/>
              <w:autoSpaceDE/>
              <w:autoSpaceDN/>
              <w:bidi w:val="0"/>
              <w:adjustRightInd/>
              <w:spacing w:line="360" w:lineRule="auto"/>
              <w:ind w:firstLine="400" w:firstLineChars="200"/>
              <w:textAlignment w:val="auto"/>
              <w:rPr>
                <w:rFonts w:hint="eastAsia" w:ascii="宋体" w:hAnsi="宋体" w:eastAsia="宋体" w:cs="宋体"/>
                <w:color w:val="auto"/>
                <w:kern w:val="44"/>
                <w:sz w:val="20"/>
                <w:szCs w:val="20"/>
                <w:highlight w:val="none"/>
                <w:lang w:val="en-US" w:eastAsia="zh-CN"/>
              </w:rPr>
            </w:pPr>
            <w:r>
              <w:rPr>
                <w:rFonts w:hint="eastAsia" w:ascii="宋体" w:hAnsi="宋体" w:eastAsia="宋体" w:cs="宋体"/>
                <w:color w:val="auto"/>
                <w:kern w:val="44"/>
                <w:sz w:val="20"/>
                <w:szCs w:val="20"/>
                <w:highlight w:val="none"/>
                <w:lang w:val="en-US" w:eastAsia="zh-CN"/>
              </w:rPr>
              <w:t>（一）基本</w:t>
            </w:r>
            <w:r>
              <w:rPr>
                <w:rFonts w:hint="eastAsia" w:ascii="宋体" w:hAnsi="宋体" w:eastAsia="宋体" w:cs="宋体"/>
                <w:color w:val="auto"/>
                <w:sz w:val="20"/>
                <w:szCs w:val="20"/>
                <w:highlight w:val="none"/>
                <w:lang w:eastAsia="zh-CN"/>
              </w:rPr>
              <w:t>参照《园林绿化管养标准》（CJJ/T 287-2018）、《广东省公路绿化树木修剪技术指引(试行)（GDJT 002 - 04 - 2025）》、《公路养护技术标准》（JTG 5110—2023）</w:t>
            </w:r>
            <w:r>
              <w:rPr>
                <w:rFonts w:hint="eastAsia" w:ascii="宋体" w:hAnsi="宋体" w:eastAsia="宋体" w:cs="宋体"/>
                <w:color w:val="auto"/>
                <w:sz w:val="20"/>
                <w:szCs w:val="20"/>
                <w:highlight w:val="none"/>
                <w:lang w:val="en-US" w:eastAsia="zh-CN"/>
              </w:rPr>
              <w:t>等文件</w:t>
            </w:r>
            <w:r>
              <w:rPr>
                <w:rFonts w:hint="eastAsia" w:ascii="宋体" w:hAnsi="宋体" w:eastAsia="宋体" w:cs="宋体"/>
                <w:color w:val="auto"/>
                <w:kern w:val="44"/>
                <w:sz w:val="20"/>
                <w:szCs w:val="20"/>
                <w:highlight w:val="none"/>
                <w:lang w:val="en-US" w:eastAsia="zh-CN"/>
              </w:rPr>
              <w:t>的规定对绿地进行养护，备有养护管理技术方案，建有具备基本工种的养护队伍，“黄土不露天”现象不明显，绿地总体景观基本完好。</w:t>
            </w:r>
          </w:p>
          <w:p w14:paraId="5665C1D9">
            <w:pPr>
              <w:pageBreakBefore w:val="0"/>
              <w:kinsoku/>
              <w:wordWrap/>
              <w:overflowPunct/>
              <w:topLinePunct w:val="0"/>
              <w:autoSpaceDE/>
              <w:autoSpaceDN/>
              <w:bidi w:val="0"/>
              <w:adjustRightInd/>
              <w:spacing w:line="360" w:lineRule="auto"/>
              <w:ind w:firstLine="400" w:firstLineChars="200"/>
              <w:textAlignment w:val="auto"/>
              <w:rPr>
                <w:rFonts w:hint="eastAsia" w:ascii="宋体" w:hAnsi="宋体" w:eastAsia="宋体" w:cs="宋体"/>
                <w:color w:val="auto"/>
                <w:kern w:val="44"/>
                <w:sz w:val="20"/>
                <w:szCs w:val="20"/>
                <w:highlight w:val="none"/>
                <w:lang w:val="en-US" w:eastAsia="zh-CN"/>
              </w:rPr>
            </w:pPr>
            <w:r>
              <w:rPr>
                <w:rFonts w:hint="eastAsia" w:ascii="宋体" w:hAnsi="宋体" w:eastAsia="宋体" w:cs="宋体"/>
                <w:color w:val="auto"/>
                <w:kern w:val="44"/>
                <w:sz w:val="20"/>
                <w:szCs w:val="20"/>
                <w:highlight w:val="none"/>
                <w:lang w:val="en-US" w:eastAsia="zh-CN"/>
              </w:rPr>
              <w:t>（二）园林植物</w:t>
            </w:r>
          </w:p>
          <w:p w14:paraId="1585591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auto"/>
                <w:kern w:val="44"/>
                <w:sz w:val="20"/>
                <w:szCs w:val="20"/>
                <w:highlight w:val="none"/>
                <w:lang w:val="en-US" w:eastAsia="zh-CN"/>
              </w:rPr>
            </w:pPr>
            <w:r>
              <w:rPr>
                <w:rFonts w:hint="eastAsia" w:ascii="宋体" w:hAnsi="宋体" w:eastAsia="宋体" w:cs="宋体"/>
                <w:color w:val="auto"/>
                <w:kern w:val="44"/>
                <w:sz w:val="20"/>
                <w:szCs w:val="20"/>
                <w:highlight w:val="none"/>
                <w:lang w:val="en-US" w:eastAsia="zh-CN"/>
              </w:rPr>
              <w:t>1.草坪植物叶片色泽正常，无明显枯黄叶，其他植物新梢枝叶萌发正常，叶片大小、色泽基本正常，无明显枯枝败叶。新建植草坪的绿色期和覆盖率在一年内、其他新种的植物在两年内达到三级养护管理标准。</w:t>
            </w:r>
          </w:p>
          <w:p w14:paraId="589D8D3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auto"/>
                <w:kern w:val="44"/>
                <w:sz w:val="20"/>
                <w:szCs w:val="20"/>
                <w:highlight w:val="none"/>
                <w:lang w:val="en-US" w:eastAsia="zh-CN"/>
              </w:rPr>
            </w:pPr>
            <w:r>
              <w:rPr>
                <w:rFonts w:hint="eastAsia" w:ascii="宋体" w:hAnsi="宋体" w:eastAsia="宋体" w:cs="宋体"/>
                <w:color w:val="auto"/>
                <w:kern w:val="44"/>
                <w:sz w:val="20"/>
                <w:szCs w:val="20"/>
                <w:highlight w:val="none"/>
                <w:lang w:val="en-US" w:eastAsia="zh-CN"/>
              </w:rPr>
              <w:t>2.乔木树冠基本完整，生长与开花结果正常；分枝基本不影响游览及观景。行道树的倾斜率小于7%。</w:t>
            </w:r>
          </w:p>
          <w:p w14:paraId="4D4A425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auto"/>
                <w:kern w:val="44"/>
                <w:sz w:val="20"/>
                <w:szCs w:val="20"/>
                <w:highlight w:val="none"/>
                <w:lang w:val="en-US" w:eastAsia="zh-CN"/>
              </w:rPr>
            </w:pPr>
            <w:r>
              <w:rPr>
                <w:rFonts w:hint="eastAsia" w:ascii="宋体" w:hAnsi="宋体" w:eastAsia="宋体" w:cs="宋体"/>
                <w:color w:val="auto"/>
                <w:kern w:val="44"/>
                <w:sz w:val="20"/>
                <w:szCs w:val="20"/>
                <w:highlight w:val="none"/>
                <w:lang w:val="en-US" w:eastAsia="zh-CN"/>
              </w:rPr>
              <w:t>3.花灌木生长发育基本正常，木本地被覆盖率达到95%以上。</w:t>
            </w:r>
          </w:p>
          <w:p w14:paraId="4826C6F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auto"/>
                <w:kern w:val="44"/>
                <w:sz w:val="20"/>
                <w:szCs w:val="20"/>
                <w:highlight w:val="none"/>
                <w:lang w:val="en-US" w:eastAsia="zh-CN"/>
              </w:rPr>
            </w:pPr>
            <w:r>
              <w:rPr>
                <w:rFonts w:hint="eastAsia" w:ascii="宋体" w:hAnsi="宋体" w:eastAsia="宋体" w:cs="宋体"/>
                <w:color w:val="auto"/>
                <w:kern w:val="44"/>
                <w:sz w:val="20"/>
                <w:szCs w:val="20"/>
                <w:highlight w:val="none"/>
                <w:lang w:val="en-US" w:eastAsia="zh-CN"/>
              </w:rPr>
              <w:t>4.花坛、花带及绿篱基本无残缺，杂草覆盖率小于5%，无死株、缺株。</w:t>
            </w:r>
          </w:p>
          <w:p w14:paraId="5628373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auto"/>
                <w:kern w:val="44"/>
                <w:sz w:val="20"/>
                <w:szCs w:val="20"/>
                <w:highlight w:val="none"/>
                <w:lang w:val="en-US" w:eastAsia="zh-CN"/>
              </w:rPr>
            </w:pPr>
            <w:r>
              <w:rPr>
                <w:rFonts w:hint="eastAsia" w:ascii="宋体" w:hAnsi="宋体" w:eastAsia="宋体" w:cs="宋体"/>
                <w:color w:val="auto"/>
                <w:kern w:val="44"/>
                <w:sz w:val="20"/>
                <w:szCs w:val="20"/>
                <w:highlight w:val="none"/>
                <w:lang w:val="en-US" w:eastAsia="zh-CN"/>
              </w:rPr>
              <w:t>5.造型植物的修剪基本合理。规则式种植的造型植物，形状、体量大致一致；自然式种植的，形状和体量基本符合设计和景观要求。</w:t>
            </w:r>
          </w:p>
          <w:p w14:paraId="51C7D63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auto"/>
                <w:kern w:val="44"/>
                <w:sz w:val="20"/>
                <w:szCs w:val="20"/>
                <w:highlight w:val="none"/>
                <w:lang w:val="en-US" w:eastAsia="zh-CN"/>
              </w:rPr>
            </w:pPr>
            <w:r>
              <w:rPr>
                <w:rFonts w:hint="eastAsia" w:ascii="宋体" w:hAnsi="宋体" w:eastAsia="宋体" w:cs="宋体"/>
                <w:color w:val="auto"/>
                <w:kern w:val="44"/>
                <w:sz w:val="20"/>
                <w:szCs w:val="20"/>
                <w:highlight w:val="none"/>
                <w:lang w:val="en-US" w:eastAsia="zh-CN"/>
              </w:rPr>
              <w:t>6.藤本植物生长基本正常，花开适时，牵引合理，覆盖率不低于80%。</w:t>
            </w:r>
          </w:p>
          <w:p w14:paraId="2919A4C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auto"/>
                <w:kern w:val="44"/>
                <w:sz w:val="20"/>
                <w:szCs w:val="20"/>
                <w:highlight w:val="none"/>
                <w:lang w:val="en-US" w:eastAsia="zh-CN"/>
              </w:rPr>
            </w:pPr>
            <w:r>
              <w:rPr>
                <w:rFonts w:hint="eastAsia" w:ascii="宋体" w:hAnsi="宋体" w:eastAsia="宋体" w:cs="宋体"/>
                <w:color w:val="auto"/>
                <w:kern w:val="44"/>
                <w:sz w:val="20"/>
                <w:szCs w:val="20"/>
                <w:highlight w:val="none"/>
                <w:lang w:val="en-US" w:eastAsia="zh-CN"/>
              </w:rPr>
              <w:t>7.草本花卉基本正常，株型基本完整，花开时覆盖率达到80%以上，杂草覆盖率小于5%，花后需修剪的，基本得到修剪。</w:t>
            </w:r>
          </w:p>
          <w:p w14:paraId="22A64C4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auto"/>
                <w:kern w:val="44"/>
                <w:sz w:val="20"/>
                <w:szCs w:val="20"/>
                <w:highlight w:val="none"/>
                <w:lang w:val="en-US" w:eastAsia="zh-CN"/>
              </w:rPr>
            </w:pPr>
            <w:r>
              <w:rPr>
                <w:rFonts w:hint="eastAsia" w:ascii="宋体" w:hAnsi="宋体" w:eastAsia="宋体" w:cs="宋体"/>
                <w:color w:val="auto"/>
                <w:kern w:val="44"/>
                <w:sz w:val="20"/>
                <w:szCs w:val="20"/>
                <w:highlight w:val="none"/>
                <w:lang w:val="en-US" w:eastAsia="zh-CN"/>
              </w:rPr>
              <w:t>8.草坪绿色期不少于250天，覆盖率不少于95%，杂草的覆盖率不超过3%，草坪表面积水在雨后24小时内排清。</w:t>
            </w:r>
          </w:p>
          <w:p w14:paraId="09DBF50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auto"/>
                <w:kern w:val="44"/>
                <w:sz w:val="20"/>
                <w:szCs w:val="20"/>
                <w:highlight w:val="none"/>
                <w:lang w:val="en-US" w:eastAsia="zh-CN"/>
              </w:rPr>
            </w:pPr>
            <w:r>
              <w:rPr>
                <w:rFonts w:hint="eastAsia" w:ascii="宋体" w:hAnsi="宋体" w:eastAsia="宋体" w:cs="宋体"/>
                <w:color w:val="auto"/>
                <w:kern w:val="44"/>
                <w:sz w:val="20"/>
                <w:szCs w:val="20"/>
                <w:highlight w:val="none"/>
                <w:lang w:val="en-US" w:eastAsia="zh-CN"/>
              </w:rPr>
              <w:t>9.水生植物生长基本正常，花开适时。</w:t>
            </w:r>
          </w:p>
          <w:p w14:paraId="11B6047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auto"/>
                <w:kern w:val="44"/>
                <w:sz w:val="20"/>
                <w:szCs w:val="20"/>
                <w:highlight w:val="none"/>
                <w:lang w:val="en-US" w:eastAsia="zh-CN"/>
              </w:rPr>
            </w:pPr>
            <w:r>
              <w:rPr>
                <w:rFonts w:hint="eastAsia" w:ascii="宋体" w:hAnsi="宋体" w:eastAsia="宋体" w:cs="宋体"/>
                <w:color w:val="auto"/>
                <w:kern w:val="44"/>
                <w:sz w:val="20"/>
                <w:szCs w:val="20"/>
                <w:highlight w:val="none"/>
                <w:lang w:val="en-US" w:eastAsia="zh-CN"/>
              </w:rPr>
              <w:t>10.补植、改植于3天内完成。草坪补植或改后一个月内覆盖率达到90%以上，其他植物补植或改植的成活率达到95%以上。</w:t>
            </w:r>
          </w:p>
          <w:p w14:paraId="25E522E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auto"/>
                <w:kern w:val="44"/>
                <w:sz w:val="20"/>
                <w:szCs w:val="20"/>
                <w:highlight w:val="none"/>
                <w:lang w:val="en-US" w:eastAsia="zh-CN"/>
              </w:rPr>
            </w:pPr>
            <w:r>
              <w:rPr>
                <w:rFonts w:hint="eastAsia" w:ascii="宋体" w:hAnsi="宋体" w:eastAsia="宋体" w:cs="宋体"/>
                <w:color w:val="auto"/>
                <w:kern w:val="44"/>
                <w:sz w:val="20"/>
                <w:szCs w:val="20"/>
                <w:highlight w:val="none"/>
                <w:lang w:val="en-US" w:eastAsia="zh-CN"/>
              </w:rPr>
              <w:t>11.病虫害得到控制，被害植株不超过7%。</w:t>
            </w:r>
          </w:p>
          <w:p w14:paraId="37F6F300">
            <w:pPr>
              <w:pageBreakBefore w:val="0"/>
              <w:kinsoku/>
              <w:wordWrap/>
              <w:overflowPunct/>
              <w:topLinePunct w:val="0"/>
              <w:autoSpaceDE/>
              <w:autoSpaceDN/>
              <w:bidi w:val="0"/>
              <w:adjustRightInd/>
              <w:spacing w:line="360" w:lineRule="auto"/>
              <w:ind w:firstLine="400" w:firstLineChars="200"/>
              <w:textAlignment w:val="auto"/>
              <w:rPr>
                <w:rFonts w:hint="eastAsia" w:ascii="宋体" w:hAnsi="宋体" w:eastAsia="宋体" w:cs="宋体"/>
                <w:color w:val="auto"/>
                <w:kern w:val="44"/>
                <w:sz w:val="20"/>
                <w:szCs w:val="20"/>
                <w:highlight w:val="none"/>
                <w:lang w:val="en-US" w:eastAsia="zh-CN"/>
              </w:rPr>
            </w:pPr>
            <w:r>
              <w:rPr>
                <w:rFonts w:hint="eastAsia" w:ascii="宋体" w:hAnsi="宋体" w:eastAsia="宋体" w:cs="宋体"/>
                <w:color w:val="auto"/>
                <w:kern w:val="44"/>
                <w:sz w:val="20"/>
                <w:szCs w:val="20"/>
                <w:highlight w:val="none"/>
                <w:lang w:val="en-US" w:eastAsia="zh-CN"/>
              </w:rPr>
              <w:t>（三）绿地无明显生活垃圾。</w:t>
            </w:r>
          </w:p>
          <w:p w14:paraId="2B4C24DA">
            <w:pPr>
              <w:pageBreakBefore w:val="0"/>
              <w:kinsoku/>
              <w:wordWrap/>
              <w:overflowPunct/>
              <w:topLinePunct w:val="0"/>
              <w:autoSpaceDE/>
              <w:autoSpaceDN/>
              <w:bidi w:val="0"/>
              <w:adjustRightInd/>
              <w:spacing w:line="360" w:lineRule="auto"/>
              <w:ind w:firstLine="400" w:firstLineChars="200"/>
              <w:textAlignment w:val="auto"/>
              <w:rPr>
                <w:rFonts w:hint="eastAsia" w:ascii="宋体" w:hAnsi="宋体" w:eastAsia="宋体" w:cs="宋体"/>
                <w:color w:val="auto"/>
                <w:kern w:val="44"/>
                <w:sz w:val="20"/>
                <w:szCs w:val="20"/>
                <w:highlight w:val="none"/>
                <w:lang w:val="en-US" w:eastAsia="zh-CN"/>
              </w:rPr>
            </w:pPr>
            <w:r>
              <w:rPr>
                <w:rFonts w:hint="eastAsia" w:ascii="宋体" w:hAnsi="宋体" w:eastAsia="宋体" w:cs="宋体"/>
                <w:color w:val="auto"/>
                <w:kern w:val="44"/>
                <w:sz w:val="20"/>
                <w:szCs w:val="20"/>
                <w:highlight w:val="none"/>
                <w:lang w:val="en-US" w:eastAsia="zh-CN"/>
              </w:rPr>
              <w:t>（四）绿地园林建设园路、铺设场地等设施基本完好，并得到合理维护。</w:t>
            </w:r>
          </w:p>
          <w:p w14:paraId="5388D481">
            <w:pPr>
              <w:pageBreakBefore w:val="0"/>
              <w:shd w:val="clear"/>
              <w:kinsoku/>
              <w:wordWrap/>
              <w:overflowPunct/>
              <w:topLinePunct w:val="0"/>
              <w:autoSpaceDE/>
              <w:autoSpaceDN/>
              <w:bidi w:val="0"/>
              <w:adjustRightInd/>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w:t>
            </w:r>
            <w:r>
              <w:rPr>
                <w:rFonts w:hint="eastAsia" w:ascii="宋体" w:hAnsi="宋体" w:eastAsia="宋体" w:cs="宋体"/>
                <w:color w:val="auto"/>
                <w:sz w:val="20"/>
                <w:szCs w:val="20"/>
                <w:highlight w:val="none"/>
                <w:shd w:val="clear" w:color="auto" w:fill="FFFFFF"/>
                <w:lang w:eastAsia="zh-CN"/>
              </w:rPr>
              <w:t>五</w:t>
            </w:r>
            <w:r>
              <w:rPr>
                <w:rFonts w:hint="eastAsia" w:ascii="宋体" w:hAnsi="宋体" w:eastAsia="宋体" w:cs="宋体"/>
                <w:color w:val="auto"/>
                <w:sz w:val="20"/>
                <w:szCs w:val="20"/>
                <w:highlight w:val="none"/>
                <w:shd w:val="clear" w:color="auto" w:fill="FFFFFF"/>
              </w:rPr>
              <w:t>）管理程序：</w:t>
            </w:r>
            <w:r>
              <w:rPr>
                <w:rFonts w:hint="eastAsia" w:ascii="宋体" w:hAnsi="宋体" w:eastAsia="宋体" w:cs="宋体"/>
                <w:color w:val="auto"/>
                <w:sz w:val="20"/>
                <w:szCs w:val="20"/>
                <w:highlight w:val="none"/>
              </w:rPr>
              <w:t>各种苗（树）木的管养和补种、绿化日常淋水、培土、施肥、修剪、扶正、除草、病虫害防治、树身涂白等工作，清理包括道路中央隔离带及两旁花基在内的垃圾、杂物等</w:t>
            </w:r>
            <w:r>
              <w:rPr>
                <w:rFonts w:hint="eastAsia" w:ascii="宋体" w:hAnsi="宋体" w:eastAsia="宋体" w:cs="宋体"/>
                <w:color w:val="auto"/>
                <w:sz w:val="20"/>
                <w:szCs w:val="20"/>
                <w:highlight w:val="none"/>
                <w:shd w:val="clear" w:color="auto" w:fill="FFFFFF"/>
              </w:rPr>
              <w:t>整套过程，</w:t>
            </w:r>
            <w:r>
              <w:rPr>
                <w:rFonts w:hint="eastAsia" w:ascii="宋体" w:hAnsi="宋体" w:eastAsia="宋体" w:cs="宋体"/>
                <w:color w:val="auto"/>
                <w:sz w:val="20"/>
                <w:szCs w:val="20"/>
                <w:highlight w:val="none"/>
              </w:rPr>
              <w:t>自行负责处理修剪产生的绿化垃圾。</w:t>
            </w:r>
          </w:p>
          <w:p w14:paraId="71F09D43">
            <w:pPr>
              <w:pageBreakBefore w:val="0"/>
              <w:shd w:val="clear"/>
              <w:kinsoku/>
              <w:wordWrap/>
              <w:overflowPunct/>
              <w:topLinePunct w:val="0"/>
              <w:autoSpaceDE/>
              <w:autoSpaceDN/>
              <w:bidi w:val="0"/>
              <w:adjustRightInd/>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w:t>
            </w:r>
            <w:r>
              <w:rPr>
                <w:rFonts w:hint="eastAsia" w:ascii="宋体" w:hAnsi="宋体" w:eastAsia="宋体" w:cs="宋体"/>
                <w:color w:val="auto"/>
                <w:sz w:val="20"/>
                <w:szCs w:val="20"/>
                <w:highlight w:val="none"/>
                <w:shd w:val="clear" w:color="auto" w:fill="FFFFFF"/>
                <w:lang w:val="en-US" w:eastAsia="zh-CN"/>
              </w:rPr>
              <w:t>六</w:t>
            </w:r>
            <w:r>
              <w:rPr>
                <w:rFonts w:hint="eastAsia" w:ascii="宋体" w:hAnsi="宋体" w:eastAsia="宋体" w:cs="宋体"/>
                <w:color w:val="auto"/>
                <w:sz w:val="20"/>
                <w:szCs w:val="20"/>
                <w:highlight w:val="none"/>
                <w:shd w:val="clear" w:color="auto" w:fill="FFFFFF"/>
              </w:rPr>
              <w:t>）综合管养作业标准如下：</w:t>
            </w:r>
          </w:p>
          <w:p w14:paraId="113B5E54">
            <w:pPr>
              <w:pageBreakBefore w:val="0"/>
              <w:shd w:val="clear"/>
              <w:kinsoku/>
              <w:wordWrap/>
              <w:overflowPunct/>
              <w:topLinePunct w:val="0"/>
              <w:autoSpaceDE/>
              <w:autoSpaceDN/>
              <w:bidi w:val="0"/>
              <w:adjustRightInd/>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1.绿化管养技术措施</w:t>
            </w:r>
            <w:r>
              <w:rPr>
                <w:rFonts w:hint="eastAsia" w:ascii="宋体" w:hAnsi="宋体" w:eastAsia="宋体" w:cs="宋体"/>
                <w:color w:val="auto"/>
                <w:sz w:val="20"/>
                <w:szCs w:val="20"/>
                <w:highlight w:val="none"/>
                <w:lang w:val="en-US" w:eastAsia="zh-CN"/>
              </w:rPr>
              <w:t>须</w:t>
            </w:r>
            <w:r>
              <w:rPr>
                <w:rFonts w:hint="eastAsia" w:ascii="宋体" w:hAnsi="宋体" w:eastAsia="宋体" w:cs="宋体"/>
                <w:color w:val="auto"/>
                <w:sz w:val="20"/>
                <w:szCs w:val="20"/>
                <w:highlight w:val="none"/>
              </w:rPr>
              <w:t>完善</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管理得当，植物配置合理，基本达到</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黄土不露天</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w:t>
            </w:r>
          </w:p>
          <w:p w14:paraId="29CC041B">
            <w:pPr>
              <w:pageBreakBefore w:val="0"/>
              <w:kinsoku/>
              <w:wordWrap/>
              <w:overflowPunct/>
              <w:topLinePunct w:val="0"/>
              <w:autoSpaceDE/>
              <w:autoSpaceDN/>
              <w:bidi w:val="0"/>
              <w:adjustRightInd/>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2.园林植物生长正常。新建绿地各种植物3年内达到正常形态。</w:t>
            </w:r>
          </w:p>
          <w:p w14:paraId="6B5A6541">
            <w:pPr>
              <w:pageBreakBefore w:val="0"/>
              <w:kinsoku/>
              <w:wordWrap/>
              <w:overflowPunct/>
              <w:topLinePunct w:val="0"/>
              <w:autoSpaceDE/>
              <w:autoSpaceDN/>
              <w:bidi w:val="0"/>
              <w:adjustRightInd/>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园林树木树冠基本完整。主侧枝分布均称、数量适宜、修剪合理；内膛不乱，通风透光。花灌木开花及时、正常，花后修剪及时；绿篱、色块枝叶正常，整齐一致。行道树无缺株，绿地内无死树，倾斜度小于5%。</w:t>
            </w:r>
          </w:p>
          <w:p w14:paraId="49E8AB58">
            <w:pPr>
              <w:pageBreakBefore w:val="0"/>
              <w:kinsoku/>
              <w:wordWrap/>
              <w:overflowPunct/>
              <w:topLinePunct w:val="0"/>
              <w:autoSpaceDE/>
              <w:autoSpaceDN/>
              <w:bidi w:val="0"/>
              <w:adjustRightInd/>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4.落叶树新梢生长正常，叶片大小、薄厚、颜色正常。在一般条件下，黄叶、焦叶、卷叶和带虫粪、虫网的叶片不得超过5%，正常叶片保存率在90%以上。针叶树针叶宿存2年以上，结果枝条不超过20%。</w:t>
            </w:r>
          </w:p>
          <w:p w14:paraId="4B45F32C">
            <w:pPr>
              <w:pageBreakBefore w:val="0"/>
              <w:kinsoku/>
              <w:wordWrap/>
              <w:overflowPunct/>
              <w:topLinePunct w:val="0"/>
              <w:autoSpaceDE/>
              <w:autoSpaceDN/>
              <w:bidi w:val="0"/>
              <w:adjustRightInd/>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5.花坛、花带轮廓清晰，整齐美观，适时开花，无残缺。</w:t>
            </w:r>
          </w:p>
          <w:p w14:paraId="19CC0C39">
            <w:pPr>
              <w:pageBreakBefore w:val="0"/>
              <w:kinsoku/>
              <w:wordWrap/>
              <w:overflowPunct/>
              <w:topLinePunct w:val="0"/>
              <w:autoSpaceDE/>
              <w:autoSpaceDN/>
              <w:bidi w:val="0"/>
              <w:adjustRightInd/>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6.草坪及地被植物整齐一致，覆盖率95%以上。每年修剪2次以上，草坪内杂草覆盖率不超过3%。草坪绿色期：不得少于250天。</w:t>
            </w:r>
          </w:p>
          <w:p w14:paraId="7E6136DD">
            <w:pPr>
              <w:pageBreakBefore w:val="0"/>
              <w:kinsoku/>
              <w:wordWrap/>
              <w:overflowPunct/>
              <w:topLinePunct w:val="0"/>
              <w:autoSpaceDE/>
              <w:autoSpaceDN/>
              <w:bidi w:val="0"/>
              <w:adjustRightInd/>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病虫害控制及时，园林树木有蛀干害虫危害的株数不得超过1%；园林树木的主干、主枝上平均每100cm²蚧壳虫的活虫数不得超过2头，较细枝条上平均每30cm不得超过5头，且平均被害株数不得超过3%。叶片无虫粪，虫咬叶片每株不得超过5%叶片被啃，每株3%以下，被害植株及时防治。</w:t>
            </w:r>
          </w:p>
          <w:p w14:paraId="7C1C246E">
            <w:pPr>
              <w:pageBreakBefore w:val="0"/>
              <w:kinsoku/>
              <w:wordWrap/>
              <w:overflowPunct/>
              <w:topLinePunct w:val="0"/>
              <w:autoSpaceDE/>
              <w:autoSpaceDN/>
              <w:bidi w:val="0"/>
              <w:adjustRightInd/>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8.垂直绿化应根据不同植物的攀援特点，采取相应的牵引、设置网架等技术措施，视攀援植物生长习性，覆盖率不得低于80%，开花的攀援植物能适时开花。</w:t>
            </w:r>
          </w:p>
          <w:p w14:paraId="409CD577">
            <w:pPr>
              <w:pageBreakBefore w:val="0"/>
              <w:kinsoku/>
              <w:wordWrap/>
              <w:overflowPunct/>
              <w:topLinePunct w:val="0"/>
              <w:autoSpaceDE/>
              <w:autoSpaceDN/>
              <w:bidi w:val="0"/>
              <w:adjustRightInd/>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9.绿地整洁，无杂挂物，绿化生产垃圾(如树枝、树叶、草屑等)、绿地内水面杂物应日产日清，保洁及时。</w:t>
            </w:r>
          </w:p>
          <w:p w14:paraId="5636E514">
            <w:pPr>
              <w:pageBreakBefore w:val="0"/>
              <w:kinsoku/>
              <w:wordWrap/>
              <w:overflowPunct/>
              <w:topLinePunct w:val="0"/>
              <w:autoSpaceDE/>
              <w:autoSpaceDN/>
              <w:bidi w:val="0"/>
              <w:adjustRightInd/>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10.绿地完整</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无堆物、堆料、搭棚,树干无钉拴刻划等现象。行道树下距树干2m范围内无堆物、堆料、搭棚设摊、圈栏等影响树木生长和管养管理的现象。</w:t>
            </w:r>
          </w:p>
          <w:p w14:paraId="7817B86E">
            <w:pPr>
              <w:pageBreakBefore w:val="0"/>
              <w:kinsoku/>
              <w:wordWrap/>
              <w:overflowPunct/>
              <w:topLinePunct w:val="0"/>
              <w:autoSpaceDE/>
              <w:autoSpaceDN/>
              <w:bidi w:val="0"/>
              <w:adjustRightInd/>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11.发现苗木缺株补植、改植于3天内完成。</w:t>
            </w:r>
          </w:p>
          <w:p w14:paraId="7C1597EC">
            <w:pPr>
              <w:pStyle w:val="19"/>
              <w:spacing w:line="360" w:lineRule="auto"/>
              <w:ind w:firstLine="400" w:firstLineChars="20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须做好防台风工作，台风季节来临前加强管理，合理修剪，加固护树架，以增强抵御台风的能力。台风期间应迅速清理倒树断枝，疏通道路。台风后及时扶正倒树及倾斜树，补植缺株，清除断枝、落叶和垃圾，使绿化景观尽快恢复。</w:t>
            </w:r>
          </w:p>
        </w:tc>
      </w:tr>
      <w:tr w14:paraId="1480D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A301400">
            <w:pPr>
              <w:pStyle w:val="1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415" w:type="dxa"/>
          </w:tcPr>
          <w:p w14:paraId="049048B7">
            <w:pPr>
              <w:pStyle w:val="1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814" w:type="dxa"/>
          </w:tcPr>
          <w:p w14:paraId="21E2C370">
            <w:pPr>
              <w:pStyle w:val="3"/>
              <w:pageBreakBefore w:val="0"/>
              <w:kinsoku/>
              <w:wordWrap/>
              <w:overflowPunct/>
              <w:topLinePunct w:val="0"/>
              <w:bidi w:val="0"/>
              <w:spacing w:before="0" w:after="0" w:line="360" w:lineRule="auto"/>
              <w:textAlignment w:val="auto"/>
              <w:rPr>
                <w:rFonts w:hint="eastAsia" w:ascii="宋体" w:hAnsi="宋体" w:eastAsia="宋体" w:cs="宋体"/>
                <w:color w:val="auto"/>
                <w:kern w:val="44"/>
                <w:sz w:val="20"/>
                <w:szCs w:val="20"/>
                <w:highlight w:val="none"/>
              </w:rPr>
            </w:pPr>
            <w:r>
              <w:rPr>
                <w:rFonts w:hint="eastAsia" w:ascii="宋体" w:hAnsi="宋体" w:eastAsia="宋体" w:cs="宋体"/>
                <w:color w:val="auto"/>
                <w:kern w:val="44"/>
                <w:sz w:val="20"/>
                <w:szCs w:val="20"/>
                <w:highlight w:val="none"/>
                <w:lang w:val="en-US" w:eastAsia="zh-CN"/>
              </w:rPr>
              <w:t>二</w:t>
            </w:r>
            <w:r>
              <w:rPr>
                <w:rFonts w:hint="eastAsia" w:ascii="宋体" w:hAnsi="宋体" w:eastAsia="宋体" w:cs="宋体"/>
                <w:color w:val="auto"/>
                <w:kern w:val="44"/>
                <w:sz w:val="20"/>
                <w:szCs w:val="20"/>
                <w:highlight w:val="none"/>
              </w:rPr>
              <w:t>、每年绿化管养工作具体安排</w:t>
            </w:r>
          </w:p>
          <w:p w14:paraId="4925F225">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（一）乔木：及时防治病虫害，保持树木自然生长状态，造型修剪合理，及时剪除黄枝、病虫枝、荫蔽徒长枝及阻碍车辆通行的下垂枝，及时清理干净修剪物。每周清除树根周围杂草一次，确保无杂草。</w:t>
            </w:r>
          </w:p>
          <w:p w14:paraId="7322CFA7">
            <w:pPr>
              <w:pageBreakBefore w:val="0"/>
              <w:shd w:val="clear"/>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 xml:space="preserve">（二）灌木、袋苗：及时防治病虫害，修剪成圆形、方行或锥行的，每周小修一次，每月大修一次，剪口平滑、美观，及时清除修剪物，及时剪除枯枝、病虫枝，及时补种老、病死植株，每周清除杂草一次。 </w:t>
            </w:r>
          </w:p>
          <w:p w14:paraId="585801BD">
            <w:pPr>
              <w:pageBreakBefore w:val="0"/>
              <w:shd w:val="clear"/>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（三）草本类：及时防治病虫害，每周剪除残花一次、清除杂草一次，及时剪除枯枝、黄枝。</w:t>
            </w:r>
          </w:p>
          <w:p w14:paraId="6EEA210E">
            <w:pPr>
              <w:pageBreakBefore w:val="0"/>
              <w:shd w:val="clear"/>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（四）绿化管养作业要求每年</w:t>
            </w:r>
            <w:r>
              <w:rPr>
                <w:rFonts w:hint="eastAsia" w:ascii="宋体" w:hAnsi="宋体" w:eastAsia="宋体" w:cs="宋体"/>
                <w:color w:val="auto"/>
                <w:sz w:val="20"/>
                <w:szCs w:val="20"/>
                <w:highlight w:val="none"/>
                <w:shd w:val="clear" w:color="auto" w:fill="FFFFFF"/>
                <w:lang w:val="en-US" w:eastAsia="zh-CN"/>
              </w:rPr>
              <w:t>至少</w:t>
            </w:r>
            <w:r>
              <w:rPr>
                <w:rFonts w:hint="eastAsia" w:ascii="宋体" w:hAnsi="宋体" w:eastAsia="宋体" w:cs="宋体"/>
                <w:color w:val="auto"/>
                <w:sz w:val="20"/>
                <w:szCs w:val="20"/>
                <w:highlight w:val="none"/>
                <w:shd w:val="clear" w:color="auto" w:fill="FFFFFF"/>
              </w:rPr>
              <w:t>施肥料五次，乔木类施有机肥0.25千克/棵/次，施复合肥等0.1千克/棵/次，灌木、袋苗和草坪类施复合肥等10千克/亩/次，施用时间按月份工作要求。施肥前要告知采购人，以验收证明为凭。</w:t>
            </w:r>
          </w:p>
          <w:p w14:paraId="0F22D435">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1.一月份：全年中气温最低的月份，露地树木处于休眠状态。</w:t>
            </w:r>
          </w:p>
          <w:p w14:paraId="6524E8BA">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（1）冬季修剪：全面展开对落叶树木的整形修剪作业；悬铃木、大小乔木上的枯枝、伤残枝、病虫枝及妨碍架空线和建筑物的枝杈进行修剪。</w:t>
            </w:r>
          </w:p>
          <w:p w14:paraId="1C3D9273">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 xml:space="preserve">（2）行道树检查：及时检查行道树绑扎、立桩情况，发现松绑、铅丝嵌皮、摇桩等情况时立即整改。 </w:t>
            </w:r>
          </w:p>
          <w:p w14:paraId="5ACC57D0">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（3）防治害虫：冬季是消灭园林害虫的有利季节。可在树下疏松的土中挖集刺蛾的虫蛹、虫茧，集中烧死。一月中旬蚧壳虫类开始活动，行动迟缓，应刮除树干上的幼虫。</w:t>
            </w:r>
          </w:p>
          <w:p w14:paraId="3F801B0E">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（4）绿地养护：街道绿地、花坛等地挑除大型野草；草坪要及时挑草、切边；绿地内应注意防冻浇水。</w:t>
            </w:r>
          </w:p>
          <w:p w14:paraId="50E63FEC">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2.二月份：气温较上月有所回升,树木仍处于休眠状态。</w:t>
            </w:r>
          </w:p>
          <w:p w14:paraId="05B79BA8">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（1）养护基本与一月份相同。</w:t>
            </w:r>
          </w:p>
          <w:p w14:paraId="7B74FE57">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（2）修剪：对悬铃木、大小乔木的枯枝、病枝进行修剪。月底前需完成各种树木的修剪。</w:t>
            </w:r>
          </w:p>
          <w:p w14:paraId="3F00C834">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（3）防治害虫：以防刺蛾和蚧壳虫为主。</w:t>
            </w:r>
          </w:p>
          <w:p w14:paraId="6A0BCDB6">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3.三月份：气温继续上升，中旬以后，树木开始萌芽，下旬有些树木（如山茶）开花。</w:t>
            </w:r>
          </w:p>
          <w:p w14:paraId="32DF5D4E">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1）植树：春季是植树的有利时机。土壤解冻后，应立即抓紧时机植树。植大小乔木前作好规划设计，先挖（刨）好树坑，做到随挖、随运、随种、随浇水。种植灌木时也应做到随挖、随运、随种，并充分浇水，以提高苗木存活率。</w:t>
            </w:r>
          </w:p>
          <w:p w14:paraId="3DCDF8A5">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（2）春灌：因春季干旱多风，蒸发量大，为防止春旱，对绿地等应及时浇水。</w:t>
            </w:r>
          </w:p>
          <w:p w14:paraId="5CD1E68D">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（3）施肥一次：土壤解冻后，对植物施用基肥并灌水。乔木类施有机肥，灌木、袋苗和草坪类施复合肥混尿素，按标准进行施肥和淋水。</w:t>
            </w:r>
          </w:p>
          <w:p w14:paraId="141324EB">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（4）防治病虫害：3月份是防治病虫害的关键时刻。苗木（如海桐等）会出现煤污病，瓜子黄杨卷叶螟也会出现（采用喷洒杀螟松等农药进行防治）。防治刺蛾可以继续采用挖蛹方法。</w:t>
            </w:r>
          </w:p>
          <w:p w14:paraId="00CA3F34">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4.四月份：气温继续上升，树木均萌芽开花或展叶开始进入生长旺盛期。</w:t>
            </w:r>
          </w:p>
          <w:p w14:paraId="49D5380B">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（1）继续植树：四月上旬应抓紧时间种植萌芽晚的树木，对冬季死亡的灌木（杜鹃、红花继木等）应及时拔除补种，对新种树木要充分浇水。</w:t>
            </w:r>
          </w:p>
          <w:p w14:paraId="2C51721E">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（2）施肥一次（氮肥等速效肥料）和灌水：继续对养护绿地进行及时的施肥和浇水。</w:t>
            </w:r>
          </w:p>
          <w:p w14:paraId="76ED88D9">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（3）修剪：剪除冬、春季干枯的枝条，修剪常绿绿篱。</w:t>
            </w:r>
          </w:p>
          <w:p w14:paraId="404E9608">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4）防治病虫害：①蚧壳虫在第二次蜕皮后陆续转移到树皮裂缝内、树洞、树干基部、墙角等处分泌白色蜡质薄茧化蛹。可用硬竹扫帚扫除，集中深埋或浸泡。或者采用喷洒杀螟松等农药的方法。②天牛开始活动，可以采用嫁接刀或自制钢丝挑除幼虫，伤口做到越小越好。③其它病虫害的防治工作。</w:t>
            </w:r>
          </w:p>
          <w:p w14:paraId="2D95F49E">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（5）绿地内养护：注意大型绿地内的杂草及攀援植物的挑除。草坪也要进行挑草及切边工作。</w:t>
            </w:r>
          </w:p>
          <w:p w14:paraId="6E12F0B4">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（6）草花：迎五一替换冬季草花，做好浇水工作。</w:t>
            </w:r>
          </w:p>
          <w:p w14:paraId="329FF43F">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5.五月份：气温急骤上升，树木生长迅速。</w:t>
            </w:r>
          </w:p>
          <w:p w14:paraId="17656F84">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（1）浇水：树木展叶盛期，需水量很大，应适时浇水。</w:t>
            </w:r>
          </w:p>
          <w:p w14:paraId="52596475">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（2）修剪：修剪残花。行道树进行第一次的剥芽修剪。</w:t>
            </w:r>
          </w:p>
          <w:p w14:paraId="7AD28651">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3）防治病虫害：继续以捕捉天牛为主。刺蛾第一代孵化，尚未达到危害程度，根据养护区内的实际情况做出相应措施。由蚧壳虫、蚜虫等引起的煤污病也进入了盛发期（在紫薇、海桐、夹竹桃等上），在五月中、下旬喷洒10-20倍的松脂合剂及50%三硫磷乳剂1500—2000倍液以防治病害及杀死虫害。（其它可用杀虫素、花保等农药）。</w:t>
            </w:r>
          </w:p>
          <w:p w14:paraId="47882053">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6.六月份：气温再一次升高。</w:t>
            </w:r>
          </w:p>
          <w:p w14:paraId="3D3385A3">
            <w:pPr>
              <w:pageBreakBefore w:val="0"/>
              <w:kinsoku/>
              <w:wordWrap/>
              <w:overflowPunct/>
              <w:topLinePunct w:val="0"/>
              <w:autoSpaceDE w:val="0"/>
              <w:autoSpaceDN w:val="0"/>
              <w:bidi w:val="0"/>
              <w:adjustRightInd w:val="0"/>
              <w:spacing w:line="360" w:lineRule="auto"/>
              <w:ind w:firstLine="400" w:firstLineChars="200"/>
              <w:jc w:val="left"/>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（1）浇水：植物需水量大，要及时浇水。定时对管养范围内的树木进行浇水。</w:t>
            </w:r>
          </w:p>
          <w:p w14:paraId="599C2044">
            <w:pPr>
              <w:pageBreakBefore w:val="0"/>
              <w:kinsoku/>
              <w:wordWrap/>
              <w:overflowPunct/>
              <w:topLinePunct w:val="0"/>
              <w:autoSpaceDE w:val="0"/>
              <w:autoSpaceDN w:val="0"/>
              <w:bidi w:val="0"/>
              <w:adjustRightInd w:val="0"/>
              <w:spacing w:line="360" w:lineRule="auto"/>
              <w:ind w:firstLine="400" w:firstLineChars="200"/>
              <w:jc w:val="left"/>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（2）施肥（复合肥混尿素）两次：结合松土除草、施肥、浇水以达到最好的效果。（购买肥料的发票必须和季度验收一起提交。）</w:t>
            </w:r>
          </w:p>
          <w:p w14:paraId="1446B970">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（3）修剪：继续对行道树进行剥芽除蘖工作。对绿篱、球类及部分花灌木实施修剪。</w:t>
            </w:r>
          </w:p>
          <w:p w14:paraId="5CC1BCD2">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（4）排水工作：有大雨天气时要注意低洼处的排水工作。</w:t>
            </w:r>
          </w:p>
          <w:p w14:paraId="118994F8">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（5）防治病虫害：六月中、下旬刺蛾进入孵化盛期，应及时采取措施，现基本采用50%杀螟松乳剂500—800倍液喷洒（或用复合BT乳剂进行喷施）。继续对天牛进行人工捕捉。月季白粉病、青桐木虱等也要及时防治。</w:t>
            </w:r>
          </w:p>
          <w:p w14:paraId="2E7C5929">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（6）做好树木防汛防台前的检查工作，对松动、倾斜的树木进行扶正、加固及重新绑扎。</w:t>
            </w:r>
          </w:p>
          <w:p w14:paraId="4E8A643E">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7.七月份：气温最高，中旬以后会出现大风大雨情况。</w:t>
            </w:r>
          </w:p>
          <w:p w14:paraId="0837A140">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（1）移植常绿树：雨季期间，水分充足，可以移植针叶树和竹类，但要注意天气变化，一旦碰到高温要及时浇水。</w:t>
            </w:r>
          </w:p>
          <w:p w14:paraId="6016620F">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 xml:space="preserve">（2）排涝和施追肥（氮肥等速效肥料）一次：在下雨前施肥，大雨过后要及时排涝。 </w:t>
            </w:r>
          </w:p>
          <w:p w14:paraId="7B438153">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 xml:space="preserve">（3）行道树：进行防台剥芽修剪，对与电线有矛盾的树枝一律修剪，对树桩逐个检查，发现松垮、不稳立即扶正绑紧。事先做好劳力组织、物资材料、工具设备等方面的准备，随时派人检查，发现险情及时处理。 </w:t>
            </w:r>
          </w:p>
          <w:p w14:paraId="2EF82CD2">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4）防治病虫害：继续对天牛及刺蛾进行防治。防治天牛可以采用50%杀螟松1：50倍液注射，（或果树宝、或园科三号）然后封住洞口，也可达到很好的效果。香樟樟巢螟要及时的剪除，并销毁虫巢，以免再次危害。</w:t>
            </w:r>
          </w:p>
          <w:p w14:paraId="0F3AEB45">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8.八月份：仍为雨季。</w:t>
            </w:r>
          </w:p>
          <w:p w14:paraId="3A7E6C2F">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（1）排涝：大雨过后，对低洼积水处要及时排涝。</w:t>
            </w:r>
          </w:p>
          <w:p w14:paraId="1D7AF425">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（2）行道树防台工作：继续做好行道树的防台工作。</w:t>
            </w:r>
          </w:p>
          <w:p w14:paraId="2D92BFAD">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（3）修剪：除一般树木夏修外，应对绿篱进行造型修剪。</w:t>
            </w:r>
          </w:p>
          <w:p w14:paraId="4161B55E">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（4）中耕除草：杂草生长旺盛，需及时除草，并结合除草进行施肥。</w:t>
            </w:r>
          </w:p>
          <w:p w14:paraId="2013ABBC">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 xml:space="preserve">（5）防治病虫害：捕捉天牛为主，注意根部的天牛捕捉。蚜虫危害、香樟樟巢螟要及时防治。潮湿天气要注意白粉病及腐烂病，应及时采取措施。 </w:t>
            </w:r>
          </w:p>
          <w:p w14:paraId="489744B7">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9.九月份：气温有所下降，迎国庆做好相关工作。</w:t>
            </w:r>
          </w:p>
          <w:p w14:paraId="28918B86">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（1）修剪：迎接市容工作，行道树三级分叉以下剥芽。绿篱造型修剪。绿地内除草，草坪切边，及时清理死树，做到树木青枝绿叶，绿地干净整齐。</w:t>
            </w:r>
          </w:p>
          <w:p w14:paraId="6B02136B">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（2）施肥一次：对一些生长较弱，枝条不够充实的树木，应追施一些磷、钾肥。</w:t>
            </w:r>
          </w:p>
          <w:p w14:paraId="6A9E5C6F">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（3）草花：迎国庆，草花更换，选择颜色鲜艳的草花品种，浇水要充足。</w:t>
            </w:r>
          </w:p>
          <w:p w14:paraId="4B2B9CE3">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（4）防治病虫害：穿孔病（樱花、桃、梅等）为发病高峰，采用500%多菌灵1000倍液防止侵染。天牛开始转向根部危害，注意根部天牛的捕捉。对杨、柳上的木蠹蛾也要及时防治。做好其它病虫害的防治工作。</w:t>
            </w:r>
          </w:p>
          <w:p w14:paraId="0988083C">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（5）节前做好各类绿化设施的检查工作。</w:t>
            </w:r>
          </w:p>
          <w:p w14:paraId="07E63F37">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10.十月份：气温下降，十月下旬进入初冬，树木开始落叶，陆续进入休眠期。</w:t>
            </w:r>
          </w:p>
          <w:p w14:paraId="0D1F5EED">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（1）做好秋季植树准备，下旬耐寒树木一落叶，可以开始栽植。</w:t>
            </w:r>
          </w:p>
          <w:p w14:paraId="60CBC941">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（2） 绿地养护：及时去除死树并补种树木，每天淋水不少于两次。做好绿地、草坪挑草切边工作。草花生长不良的要施肥。</w:t>
            </w:r>
          </w:p>
          <w:p w14:paraId="3757B468">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（3）防治病虫害：继续捕捉根部天牛。香樟樟巢螟也要注意观察防治。</w:t>
            </w:r>
          </w:p>
          <w:p w14:paraId="3E224E67">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11.十一月份：土壤开始夜冻日化，进入隆冬季节。</w:t>
            </w:r>
          </w:p>
          <w:p w14:paraId="75DEE16E">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（1）植树：继续栽植耐寒植物，土壤冻结前完成。</w:t>
            </w:r>
          </w:p>
          <w:p w14:paraId="03578C35">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（2）翻土：对绿地土壤翻土，暴露准备越冬的害虫。</w:t>
            </w:r>
          </w:p>
          <w:p w14:paraId="161AF24E">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（3）每天淋水不少于两次、施肥：对干、板结的土壤浇水、施肥，要在封冻前完成。</w:t>
            </w:r>
          </w:p>
          <w:p w14:paraId="79454779">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（4）病虫害防治各种害虫在下旬准备过冬，防治任务相对较轻。</w:t>
            </w:r>
          </w:p>
          <w:p w14:paraId="42ABB542">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12.十二月份：低气温，开始冬季养护工作。</w:t>
            </w:r>
          </w:p>
          <w:p w14:paraId="0BBA65B9">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（1）冬季修剪：对些常绿乔木、灌木进行修剪，每天淋水不少于两次。</w:t>
            </w:r>
          </w:p>
          <w:p w14:paraId="0A0CD7AD">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（2）消灭越冬病虫害。</w:t>
            </w:r>
          </w:p>
          <w:p w14:paraId="1912E35E">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shd w:val="clear" w:color="auto" w:fill="FFFFFF"/>
              </w:rPr>
              <w:t>（3）做好明年调整工作准备：待落叶植物落叶以后，对养护区进行观察，绘制要调整的方位。</w:t>
            </w:r>
          </w:p>
        </w:tc>
      </w:tr>
      <w:tr w14:paraId="03432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E27B4FD">
            <w:pPr>
              <w:pStyle w:val="19"/>
              <w:rPr>
                <w:rFonts w:hint="eastAsia" w:ascii="宋体" w:hAnsi="宋体" w:eastAsia="宋体" w:cs="宋体"/>
                <w:color w:val="auto"/>
                <w:sz w:val="20"/>
                <w:szCs w:val="20"/>
                <w:highlight w:val="none"/>
              </w:rPr>
            </w:pPr>
          </w:p>
        </w:tc>
        <w:tc>
          <w:tcPr>
            <w:tcW w:w="415" w:type="dxa"/>
          </w:tcPr>
          <w:p w14:paraId="47CDA80A">
            <w:pPr>
              <w:pStyle w:val="1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814" w:type="dxa"/>
          </w:tcPr>
          <w:p w14:paraId="0B522DD2">
            <w:pPr>
              <w:pStyle w:val="19"/>
              <w:pageBreakBefore w:val="0"/>
              <w:kinsoku/>
              <w:wordWrap/>
              <w:overflowPunct/>
              <w:topLinePunct w:val="0"/>
              <w:bidi w:val="0"/>
              <w:snapToGrid w:val="0"/>
              <w:spacing w:line="360" w:lineRule="auto"/>
              <w:jc w:val="both"/>
              <w:textAlignment w:val="auto"/>
              <w:rPr>
                <w:rFonts w:hint="eastAsia" w:ascii="宋体" w:hAnsi="宋体" w:eastAsia="宋体" w:cs="宋体"/>
                <w:b/>
                <w:color w:val="auto"/>
                <w:kern w:val="2"/>
                <w:sz w:val="20"/>
                <w:szCs w:val="20"/>
                <w:highlight w:val="none"/>
                <w:lang w:eastAsia="zh-CN"/>
              </w:rPr>
            </w:pPr>
            <w:r>
              <w:rPr>
                <w:rFonts w:hint="eastAsia" w:ascii="宋体" w:hAnsi="宋体" w:eastAsia="宋体" w:cs="宋体"/>
                <w:b/>
                <w:color w:val="auto"/>
                <w:kern w:val="2"/>
                <w:sz w:val="20"/>
                <w:szCs w:val="20"/>
                <w:highlight w:val="none"/>
                <w:lang w:eastAsia="zh-CN"/>
              </w:rPr>
              <w:t>三、管养职责</w:t>
            </w:r>
          </w:p>
          <w:p w14:paraId="4413916E">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shd w:val="clear" w:color="auto" w:fill="FFFFFF"/>
                <w:lang w:eastAsia="zh-CN"/>
              </w:rPr>
              <w:t>管养期限内，按照与采购人签订的合同约定和园林绿化管养操作规程及园林绿化管养质量标准，合理组织，精心管养，并派出专业的园艺师组织指导安排管护工作，并根据各个季节天气及植物生长情况派出技术工人，保质保量完成管养任务。</w:t>
            </w:r>
          </w:p>
        </w:tc>
      </w:tr>
      <w:tr w14:paraId="2E838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2AAE035">
            <w:pPr>
              <w:pStyle w:val="19"/>
              <w:rPr>
                <w:rFonts w:hint="eastAsia" w:ascii="宋体" w:hAnsi="宋体" w:eastAsia="宋体" w:cs="宋体"/>
                <w:color w:val="auto"/>
                <w:sz w:val="20"/>
                <w:szCs w:val="20"/>
                <w:highlight w:val="none"/>
              </w:rPr>
            </w:pPr>
          </w:p>
        </w:tc>
        <w:tc>
          <w:tcPr>
            <w:tcW w:w="415" w:type="dxa"/>
          </w:tcPr>
          <w:p w14:paraId="0C8E6CBE">
            <w:pPr>
              <w:pStyle w:val="1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w:t>
            </w:r>
          </w:p>
        </w:tc>
        <w:tc>
          <w:tcPr>
            <w:tcW w:w="5814" w:type="dxa"/>
          </w:tcPr>
          <w:p w14:paraId="678A1C4E">
            <w:pPr>
              <w:pStyle w:val="3"/>
              <w:pageBreakBefore w:val="0"/>
              <w:kinsoku/>
              <w:wordWrap/>
              <w:overflowPunct/>
              <w:topLinePunct w:val="0"/>
              <w:bidi w:val="0"/>
              <w:spacing w:before="0" w:after="0" w:line="360" w:lineRule="auto"/>
              <w:textAlignment w:val="auto"/>
              <w:rPr>
                <w:rFonts w:hint="eastAsia" w:ascii="宋体" w:hAnsi="宋体" w:eastAsia="宋体" w:cs="宋体"/>
                <w:color w:val="auto"/>
                <w:kern w:val="44"/>
                <w:sz w:val="20"/>
                <w:szCs w:val="20"/>
                <w:highlight w:val="none"/>
              </w:rPr>
            </w:pPr>
            <w:r>
              <w:rPr>
                <w:rFonts w:hint="eastAsia" w:ascii="宋体" w:hAnsi="宋体" w:eastAsia="宋体" w:cs="宋体"/>
                <w:color w:val="auto"/>
                <w:kern w:val="44"/>
                <w:sz w:val="20"/>
                <w:szCs w:val="20"/>
                <w:highlight w:val="none"/>
                <w:lang w:eastAsia="zh-CN"/>
              </w:rPr>
              <w:t>四</w:t>
            </w:r>
            <w:r>
              <w:rPr>
                <w:rFonts w:hint="eastAsia" w:ascii="宋体" w:hAnsi="宋体" w:eastAsia="宋体" w:cs="宋体"/>
                <w:color w:val="auto"/>
                <w:kern w:val="44"/>
                <w:sz w:val="20"/>
                <w:szCs w:val="20"/>
                <w:highlight w:val="none"/>
              </w:rPr>
              <w:t>、项目管理目标及要求</w:t>
            </w:r>
          </w:p>
          <w:p w14:paraId="592C80F6">
            <w:pPr>
              <w:pageBreakBefore w:val="0"/>
              <w:kinsoku/>
              <w:wordWrap/>
              <w:overflowPunct/>
              <w:topLinePunct w:val="0"/>
              <w:bidi w:val="0"/>
              <w:spacing w:line="360" w:lineRule="auto"/>
              <w:ind w:firstLine="402" w:firstLineChars="200"/>
              <w:textAlignment w:val="auto"/>
              <w:rPr>
                <w:rFonts w:hint="eastAsia" w:ascii="宋体" w:hAnsi="宋体" w:eastAsia="宋体" w:cs="宋体"/>
                <w:color w:val="auto"/>
                <w:sz w:val="20"/>
                <w:szCs w:val="20"/>
                <w:highlight w:val="none"/>
              </w:rPr>
            </w:pPr>
            <w:r>
              <w:rPr>
                <w:rFonts w:hint="eastAsia" w:ascii="宋体" w:hAnsi="宋体" w:eastAsia="宋体" w:cs="宋体"/>
                <w:b/>
                <w:bCs w:val="0"/>
                <w:color w:val="auto"/>
                <w:sz w:val="20"/>
                <w:szCs w:val="20"/>
                <w:highlight w:val="none"/>
              </w:rPr>
              <w:t>（一）质量要求：达到园林绿化管养三级标准。</w:t>
            </w:r>
          </w:p>
          <w:p w14:paraId="3CA152C6">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确保现有树木的成活率在99%以上，如有死亡，中标人应按死亡树种、大小及树形的标准，在7天内补种所损坏的苗（树）木，不得拖延补齐。罗汉松、樟树、桂花树等树种，在管养期间出现死株现象，中标人须在一个月内按原来的规格补种，否则按照市价从管养费用中扣除。（因烈度6级以上地震、8级以上台风或龙卷风等不可抗力、人为（或车辆）造成损坏的苗（树）木除外）。</w:t>
            </w:r>
          </w:p>
          <w:p w14:paraId="02933ADE">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确保现有树木在烈度6级以下地震、8级以下台风或龙卷风（以政府官方公布为准）的成活率。若出现树木被刮倒后，中标人需及时扶正、加固，及时恢复交通。若遇不可抗力的自然灾害原因：指烈度6级以上的地震、8级以上的台风或龙卷风（以政府官方公布为准），造成本合同内的绿化损毁情况。双方约定在灾后的第二天由双方负责人到现场鉴定损毁情况后，由中标人编制灾后复种费用预算(只计算种植人工、材料和运输费用)，报送采购人审核。灾后复种费用由双方合理分摊，原则上按照材料和运输费用由采购人负责，种植人工费由中标人负责的方法解决。复种应在最短时间内完成，中标人在完成复种工作后，应书面报告采购人，并要求采购人在五天内指派专人验收认可，在验收通过后20天内，采购人应将复种发生的材料和运输费用按审核结果支付给中标人。</w:t>
            </w:r>
          </w:p>
          <w:p w14:paraId="7463F837">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3.在政府开展创建文明卫生城市等工作时，中标人必须配合采购人的工作要求，做好相关的创建迎检工作。</w:t>
            </w:r>
          </w:p>
          <w:p w14:paraId="6A3A5678">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4.定期做好绿化修剪和杂草的清除，绿地、道路绿化带范围内等无明显垃圾或杂物积存，杂草等生长不超过路缘石外侧。</w:t>
            </w:r>
          </w:p>
          <w:p w14:paraId="14CCE1AD">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5.按采购人的工作指示，做好其他有关绿化管养的工作。</w:t>
            </w:r>
          </w:p>
          <w:p w14:paraId="30A3492B">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6.管养期间，管养范围内的绿化树木、灌木等导致人员伤亡、财产损失，由中标人负责赔偿（不可抗力除外）。</w:t>
            </w:r>
          </w:p>
          <w:p w14:paraId="6A42C6C0">
            <w:pPr>
              <w:pStyle w:val="19"/>
              <w:pageBreakBefore w:val="0"/>
              <w:kinsoku/>
              <w:wordWrap/>
              <w:overflowPunct/>
              <w:topLinePunct w:val="0"/>
              <w:bidi w:val="0"/>
              <w:snapToGrid w:val="0"/>
              <w:spacing w:line="360" w:lineRule="auto"/>
              <w:ind w:firstLine="400" w:firstLineChars="200"/>
              <w:jc w:val="both"/>
              <w:textAlignment w:val="auto"/>
              <w:rPr>
                <w:rFonts w:hint="eastAsia" w:ascii="宋体" w:hAnsi="宋体" w:eastAsia="宋体" w:cs="宋体"/>
                <w:b w:val="0"/>
                <w:bCs/>
                <w:color w:val="auto"/>
                <w:kern w:val="2"/>
                <w:sz w:val="20"/>
                <w:szCs w:val="20"/>
                <w:highlight w:val="none"/>
                <w:lang w:eastAsia="zh-CN"/>
              </w:rPr>
            </w:pPr>
            <w:r>
              <w:rPr>
                <w:rFonts w:hint="eastAsia" w:ascii="宋体" w:hAnsi="宋体" w:eastAsia="宋体" w:cs="宋体"/>
                <w:b w:val="0"/>
                <w:bCs/>
                <w:color w:val="auto"/>
                <w:kern w:val="2"/>
                <w:sz w:val="20"/>
                <w:szCs w:val="20"/>
                <w:highlight w:val="none"/>
                <w:lang w:val="en-US" w:eastAsia="zh-CN"/>
              </w:rPr>
              <w:t>7.</w:t>
            </w:r>
            <w:r>
              <w:rPr>
                <w:rFonts w:hint="eastAsia" w:ascii="宋体" w:hAnsi="宋体" w:eastAsia="宋体" w:cs="宋体"/>
                <w:b w:val="0"/>
                <w:bCs/>
                <w:color w:val="auto"/>
                <w:kern w:val="2"/>
                <w:sz w:val="20"/>
                <w:szCs w:val="20"/>
                <w:highlight w:val="none"/>
                <w:lang w:eastAsia="zh-CN"/>
              </w:rPr>
              <w:t>要及时防虫、杀虫（包括白蚁防治）；绿化杀虫必须使用高效能低毒性药物，施药前要与采购人联系，合理安排施药时间，同时要对施药地域设置明显的警示标志说明。</w:t>
            </w:r>
          </w:p>
          <w:p w14:paraId="22E110F4">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b w:val="0"/>
                <w:bCs/>
                <w:color w:val="auto"/>
                <w:kern w:val="2"/>
                <w:sz w:val="20"/>
                <w:szCs w:val="20"/>
                <w:highlight w:val="none"/>
                <w:lang w:val="en-US" w:eastAsia="zh-CN"/>
              </w:rPr>
              <w:t>8</w:t>
            </w:r>
            <w:r>
              <w:rPr>
                <w:rFonts w:hint="eastAsia" w:ascii="宋体" w:hAnsi="宋体" w:eastAsia="宋体" w:cs="宋体"/>
                <w:b w:val="0"/>
                <w:bCs/>
                <w:color w:val="auto"/>
                <w:kern w:val="2"/>
                <w:sz w:val="20"/>
                <w:szCs w:val="20"/>
                <w:highlight w:val="none"/>
                <w:lang w:eastAsia="zh-CN"/>
              </w:rPr>
              <w:t>.对草坪、树木、绿化带进行精心养护、保持良好生长状态。如项目实施时遇新规定文件的，按新规定文件执行。</w:t>
            </w:r>
          </w:p>
          <w:p w14:paraId="5E6BE5C2">
            <w:pPr>
              <w:pageBreakBefore w:val="0"/>
              <w:kinsoku/>
              <w:wordWrap/>
              <w:overflowPunct/>
              <w:topLinePunct w:val="0"/>
              <w:bidi w:val="0"/>
              <w:spacing w:line="360" w:lineRule="auto"/>
              <w:ind w:firstLine="402" w:firstLineChars="200"/>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★（二）管养质量保证措施</w:t>
            </w:r>
          </w:p>
          <w:p w14:paraId="4423929E">
            <w:pPr>
              <w:pageBreakBefore w:val="0"/>
              <w:kinsoku/>
              <w:wordWrap/>
              <w:overflowPunct/>
              <w:topLinePunct w:val="0"/>
              <w:bidi w:val="0"/>
              <w:spacing w:line="360" w:lineRule="auto"/>
              <w:ind w:firstLine="400" w:firstLineChars="200"/>
              <w:textAlignment w:val="auto"/>
              <w:rPr>
                <w:rFonts w:hint="eastAsia" w:ascii="宋体" w:hAnsi="宋体" w:eastAsia="宋体" w:cs="宋体"/>
                <w:b/>
                <w:color w:val="auto"/>
                <w:sz w:val="20"/>
                <w:szCs w:val="20"/>
                <w:highlight w:val="none"/>
              </w:rPr>
            </w:pPr>
            <w:r>
              <w:rPr>
                <w:rFonts w:hint="eastAsia" w:ascii="宋体" w:hAnsi="宋体" w:eastAsia="宋体" w:cs="宋体"/>
                <w:color w:val="auto"/>
                <w:sz w:val="20"/>
                <w:szCs w:val="20"/>
                <w:highlight w:val="none"/>
              </w:rPr>
              <w:t>1.施肥管养材料质量保证措施</w:t>
            </w:r>
            <w:r>
              <w:rPr>
                <w:rFonts w:hint="eastAsia" w:ascii="宋体" w:hAnsi="宋体" w:eastAsia="宋体" w:cs="宋体"/>
                <w:b/>
                <w:color w:val="auto"/>
                <w:sz w:val="20"/>
                <w:szCs w:val="20"/>
                <w:highlight w:val="none"/>
              </w:rPr>
              <w:t>：</w:t>
            </w:r>
            <w:r>
              <w:rPr>
                <w:rFonts w:hint="eastAsia" w:ascii="宋体" w:hAnsi="宋体" w:eastAsia="宋体" w:cs="宋体"/>
                <w:color w:val="auto"/>
                <w:sz w:val="20"/>
                <w:szCs w:val="20"/>
                <w:highlight w:val="none"/>
              </w:rPr>
              <w:t>管养用的各种材料、设备必须符合质量要求，严禁使用国家禁止使用的药物，并报产品合格证相关资料给采购人查核。</w:t>
            </w:r>
          </w:p>
          <w:p w14:paraId="14F7829F">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2.质量方针、目标管理：质量为本，狠抓管理，高标准、严要求，科学管理，精心管养。</w:t>
            </w:r>
          </w:p>
          <w:p w14:paraId="6412DFEA">
            <w:pPr>
              <w:pageBreakBefore w:val="0"/>
              <w:kinsoku/>
              <w:wordWrap/>
              <w:overflowPunct/>
              <w:topLinePunct w:val="0"/>
              <w:autoSpaceDE w:val="0"/>
              <w:autoSpaceDN w:val="0"/>
              <w:bidi w:val="0"/>
              <w:adjustRightInd w:val="0"/>
              <w:spacing w:line="360" w:lineRule="auto"/>
              <w:ind w:firstLine="400" w:firstLineChars="200"/>
              <w:jc w:val="left"/>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rPr>
              <w:t>3.浇水：植物需水量大，要及时浇水。保持每天淋水（雨天除外）。</w:t>
            </w:r>
          </w:p>
          <w:p w14:paraId="60067571">
            <w:pPr>
              <w:pageBreakBefore w:val="0"/>
              <w:kinsoku/>
              <w:wordWrap/>
              <w:overflowPunct/>
              <w:topLinePunct w:val="0"/>
              <w:bidi w:val="0"/>
              <w:spacing w:line="360" w:lineRule="auto"/>
              <w:ind w:firstLine="400" w:firstLineChars="200"/>
              <w:textAlignment w:val="auto"/>
              <w:rPr>
                <w:rFonts w:hint="eastAsia" w:ascii="宋体" w:hAnsi="宋体" w:eastAsia="宋体" w:cs="宋体"/>
                <w:strike w:val="0"/>
                <w:color w:val="auto"/>
                <w:sz w:val="20"/>
                <w:szCs w:val="20"/>
                <w:highlight w:val="none"/>
                <w:shd w:val="clear" w:color="auto" w:fill="FFFFFF"/>
              </w:rPr>
            </w:pPr>
            <w:r>
              <w:rPr>
                <w:rFonts w:hint="eastAsia" w:ascii="宋体" w:hAnsi="宋体" w:eastAsia="宋体" w:cs="宋体"/>
                <w:strike w:val="0"/>
                <w:color w:val="auto"/>
                <w:sz w:val="20"/>
                <w:szCs w:val="20"/>
                <w:highlight w:val="none"/>
                <w:shd w:val="clear" w:color="auto" w:fill="FFFFFF"/>
              </w:rPr>
              <w:t>4.</w:t>
            </w:r>
            <w:r>
              <w:rPr>
                <w:rStyle w:val="14"/>
                <w:rFonts w:hint="eastAsia" w:ascii="宋体" w:hAnsi="宋体" w:eastAsia="宋体" w:cs="宋体"/>
                <w:color w:val="auto"/>
                <w:kern w:val="0"/>
                <w:sz w:val="20"/>
                <w:szCs w:val="20"/>
                <w:highlight w:val="none"/>
              </w:rPr>
              <w:t>按季节及</w:t>
            </w:r>
            <w:r>
              <w:rPr>
                <w:rStyle w:val="14"/>
                <w:rFonts w:hint="eastAsia" w:ascii="宋体" w:hAnsi="宋体" w:eastAsia="宋体" w:cs="宋体"/>
                <w:color w:val="auto"/>
                <w:kern w:val="0"/>
                <w:sz w:val="20"/>
                <w:szCs w:val="20"/>
                <w:highlight w:val="none"/>
                <w:lang w:val="en-US" w:eastAsia="zh-CN"/>
              </w:rPr>
              <w:t>采购人</w:t>
            </w:r>
            <w:r>
              <w:rPr>
                <w:rStyle w:val="14"/>
                <w:rFonts w:hint="eastAsia" w:ascii="宋体" w:hAnsi="宋体" w:eastAsia="宋体" w:cs="宋体"/>
                <w:color w:val="auto"/>
                <w:kern w:val="0"/>
                <w:sz w:val="20"/>
                <w:szCs w:val="20"/>
                <w:highlight w:val="none"/>
              </w:rPr>
              <w:t>要求进行施肥</w:t>
            </w:r>
            <w:r>
              <w:rPr>
                <w:rStyle w:val="14"/>
                <w:rFonts w:hint="eastAsia" w:ascii="宋体" w:hAnsi="宋体" w:eastAsia="宋体" w:cs="宋体"/>
                <w:color w:val="auto"/>
                <w:kern w:val="0"/>
                <w:sz w:val="20"/>
                <w:szCs w:val="20"/>
                <w:highlight w:val="none"/>
                <w:lang w:eastAsia="zh-CN"/>
              </w:rPr>
              <w:t>。</w:t>
            </w:r>
          </w:p>
          <w:p w14:paraId="6C3C8A7F">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lang w:val="en-US" w:eastAsia="zh-CN"/>
              </w:rPr>
              <w:t>5</w:t>
            </w:r>
            <w:r>
              <w:rPr>
                <w:rFonts w:hint="eastAsia" w:ascii="宋体" w:hAnsi="宋体" w:eastAsia="宋体" w:cs="宋体"/>
                <w:color w:val="auto"/>
                <w:sz w:val="20"/>
                <w:szCs w:val="20"/>
                <w:highlight w:val="none"/>
                <w:shd w:val="clear" w:color="auto" w:fill="FFFFFF"/>
              </w:rPr>
              <w:t>.中标人必须提前报送每季度施工计划。</w:t>
            </w:r>
          </w:p>
          <w:p w14:paraId="516F38BD">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lang w:val="en-US" w:eastAsia="zh-CN"/>
              </w:rPr>
              <w:t>6</w:t>
            </w:r>
            <w:r>
              <w:rPr>
                <w:rFonts w:hint="eastAsia" w:ascii="宋体" w:hAnsi="宋体" w:eastAsia="宋体" w:cs="宋体"/>
                <w:color w:val="auto"/>
                <w:sz w:val="20"/>
                <w:szCs w:val="20"/>
                <w:highlight w:val="none"/>
                <w:shd w:val="clear" w:color="auto" w:fill="FFFFFF"/>
              </w:rPr>
              <w:t>.剪草要求：春夏两季每月不少于两次；秋冬季要求草的高度不能高于12厘米，否则每天扣2000元直至本月结束。</w:t>
            </w:r>
          </w:p>
          <w:p w14:paraId="1D9FFFC7">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shd w:val="clear" w:color="auto" w:fill="FFFFFF"/>
              </w:rPr>
            </w:pPr>
            <w:r>
              <w:rPr>
                <w:rFonts w:hint="eastAsia" w:ascii="宋体" w:hAnsi="宋体" w:eastAsia="宋体" w:cs="宋体"/>
                <w:color w:val="auto"/>
                <w:sz w:val="20"/>
                <w:szCs w:val="20"/>
                <w:highlight w:val="none"/>
                <w:shd w:val="clear" w:color="auto" w:fill="FFFFFF"/>
                <w:lang w:val="en-US" w:eastAsia="zh-CN"/>
              </w:rPr>
              <w:t>7</w:t>
            </w:r>
            <w:r>
              <w:rPr>
                <w:rFonts w:hint="eastAsia" w:ascii="宋体" w:hAnsi="宋体" w:eastAsia="宋体" w:cs="宋体"/>
                <w:color w:val="auto"/>
                <w:sz w:val="20"/>
                <w:szCs w:val="20"/>
                <w:highlight w:val="none"/>
                <w:shd w:val="clear" w:color="auto" w:fill="FFFFFF"/>
              </w:rPr>
              <w:t>.中标人必须及时响应采购人的创文要求，出现由于中标人维护不当导致阜沙镇在创文等活动评比中被扣分的情况，采购人将对中标人进行每次5000元的处罚。</w:t>
            </w:r>
          </w:p>
          <w:p w14:paraId="723CD97A">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shd w:val="clear" w:color="auto" w:fill="FFFFFF"/>
                <w:lang w:val="en-US" w:eastAsia="zh-CN"/>
              </w:rPr>
              <w:t>8.</w:t>
            </w:r>
            <w:r>
              <w:rPr>
                <w:rFonts w:hint="eastAsia" w:ascii="宋体" w:hAnsi="宋体" w:eastAsia="宋体" w:cs="宋体"/>
                <w:color w:val="auto"/>
                <w:sz w:val="20"/>
                <w:szCs w:val="20"/>
                <w:highlight w:val="none"/>
              </w:rPr>
              <w:t>对阜沙镇东阜公路、阜港公路的中间绿化带进行保洁，负责清理中间绿化带全部垃圾（包括建筑垃圾和生活垃圾等）。人员要求：保洁人员1人≤2.1公里，即人员不少于6人。阜沙镇东阜公路、阜港公路每天保洁不少于4次。</w:t>
            </w:r>
          </w:p>
          <w:p w14:paraId="26E2B545">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rPr>
              <w:t>.政府大院安排至少一人驻扎进行绿化修剪和拔除。政府大院、农业服务中心、公安分局、交警支队、行政服务中心等政府部门办公地点的绿化草坪不能有杂草，绿化带杂枝条不能高于10cm。违反上述任何一点，将对中标人处罚500元每次。</w:t>
            </w:r>
          </w:p>
          <w:p w14:paraId="327E3C6C">
            <w:pPr>
              <w:pageBreakBefore w:val="0"/>
              <w:kinsoku/>
              <w:wordWrap/>
              <w:overflowPunct/>
              <w:topLinePunct w:val="0"/>
              <w:bidi w:val="0"/>
              <w:spacing w:line="360" w:lineRule="auto"/>
              <w:ind w:firstLine="400" w:firstLineChars="200"/>
              <w:textAlignment w:val="auto"/>
              <w:rPr>
                <w:rFonts w:hint="eastAsia" w:ascii="宋体" w:hAnsi="宋体" w:eastAsia="宋体" w:cs="宋体"/>
                <w:strike w:val="0"/>
                <w:color w:val="auto"/>
                <w:sz w:val="20"/>
                <w:szCs w:val="20"/>
                <w:highlight w:val="none"/>
              </w:rPr>
            </w:pPr>
            <w:r>
              <w:rPr>
                <w:rFonts w:hint="eastAsia" w:ascii="宋体" w:hAnsi="宋体" w:eastAsia="宋体" w:cs="宋体"/>
                <w:strike w:val="0"/>
                <w:color w:val="auto"/>
                <w:sz w:val="20"/>
                <w:szCs w:val="20"/>
                <w:highlight w:val="none"/>
              </w:rPr>
              <w:t>1</w:t>
            </w:r>
            <w:r>
              <w:rPr>
                <w:rFonts w:hint="eastAsia" w:ascii="宋体" w:hAnsi="宋体" w:eastAsia="宋体" w:cs="宋体"/>
                <w:strike w:val="0"/>
                <w:color w:val="auto"/>
                <w:sz w:val="20"/>
                <w:szCs w:val="20"/>
                <w:highlight w:val="none"/>
                <w:lang w:val="en-US" w:eastAsia="zh-CN"/>
              </w:rPr>
              <w:t>0</w:t>
            </w:r>
            <w:r>
              <w:rPr>
                <w:rFonts w:hint="eastAsia" w:ascii="宋体" w:hAnsi="宋体" w:eastAsia="宋体" w:cs="宋体"/>
                <w:strike w:val="0"/>
                <w:color w:val="auto"/>
                <w:sz w:val="20"/>
                <w:szCs w:val="20"/>
                <w:highlight w:val="none"/>
              </w:rPr>
              <w:t>.绿化维护队伍总人数不能少于</w:t>
            </w:r>
            <w:r>
              <w:rPr>
                <w:rFonts w:hint="eastAsia" w:ascii="宋体" w:hAnsi="宋体" w:eastAsia="宋体" w:cs="宋体"/>
                <w:strike w:val="0"/>
                <w:color w:val="auto"/>
                <w:sz w:val="20"/>
                <w:szCs w:val="20"/>
                <w:highlight w:val="none"/>
                <w:lang w:val="en-US" w:eastAsia="zh-CN"/>
              </w:rPr>
              <w:t>15</w:t>
            </w:r>
            <w:r>
              <w:rPr>
                <w:rFonts w:hint="eastAsia" w:ascii="宋体" w:hAnsi="宋体" w:eastAsia="宋体" w:cs="宋体"/>
                <w:strike w:val="0"/>
                <w:color w:val="auto"/>
                <w:sz w:val="20"/>
                <w:szCs w:val="20"/>
                <w:highlight w:val="none"/>
              </w:rPr>
              <w:t>人，人员必须每天全员到位，缺少一人，处罚600元每人每次。</w:t>
            </w:r>
          </w:p>
          <w:p w14:paraId="715382D8">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11</w:t>
            </w:r>
            <w:r>
              <w:rPr>
                <w:rFonts w:hint="eastAsia" w:ascii="宋体" w:hAnsi="宋体" w:eastAsia="宋体" w:cs="宋体"/>
                <w:color w:val="auto"/>
                <w:sz w:val="20"/>
                <w:szCs w:val="20"/>
                <w:highlight w:val="none"/>
              </w:rPr>
              <w:t>.遇到突发事件（如车祸、创文验收等），中标人必须在30分钟内响应且到达现场。否则，按照每次500元进行处罚。</w:t>
            </w:r>
          </w:p>
          <w:p w14:paraId="60FDFCB6">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阜沙镇万里碧道河道两岸的绿化管养要求：</w:t>
            </w:r>
          </w:p>
          <w:p w14:paraId="7CA88EBE">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（1）每月一次对河道两岸的花草修剪整形、除草，不含淋水，人工清理到指定地点；</w:t>
            </w:r>
          </w:p>
          <w:p w14:paraId="6B2CEF2B">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）每4个月修剪树木一次，不含淋水，人工清理到指定地点；</w:t>
            </w:r>
          </w:p>
          <w:p w14:paraId="2C91BECB">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）投标人需自备作业动力船不少于2只。</w:t>
            </w:r>
          </w:p>
          <w:p w14:paraId="46E14B0B">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.作业内容包括人行道树、道路绿地等的综合管养。具体内容为绿化管养；绿地保洁（含垃圾清运）；防台风等自然灾害的园林绿化应急处理及绿化强化维护。</w:t>
            </w:r>
          </w:p>
          <w:p w14:paraId="631F1FAA">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14</w:t>
            </w:r>
            <w:r>
              <w:rPr>
                <w:rFonts w:hint="eastAsia" w:ascii="宋体" w:hAnsi="宋体" w:eastAsia="宋体" w:cs="宋体"/>
                <w:color w:val="auto"/>
                <w:sz w:val="20"/>
                <w:szCs w:val="20"/>
                <w:highlight w:val="none"/>
              </w:rPr>
              <w:t>.乔木养护内容：</w:t>
            </w:r>
          </w:p>
          <w:p w14:paraId="06878C15">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（1）行道树修剪三级养护；</w:t>
            </w:r>
          </w:p>
          <w:p w14:paraId="21DFBD25">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（2）行道除杂草；</w:t>
            </w:r>
          </w:p>
          <w:p w14:paraId="6A97F09B">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（3）行道树身涂白。</w:t>
            </w:r>
          </w:p>
          <w:p w14:paraId="11F45CB7">
            <w:pPr>
              <w:pageBreakBefore w:val="0"/>
              <w:kinsoku/>
              <w:wordWrap/>
              <w:overflowPunct/>
              <w:topLinePunct w:val="0"/>
              <w:bidi w:val="0"/>
              <w:spacing w:line="360" w:lineRule="auto"/>
              <w:ind w:firstLine="402" w:firstLineChars="200"/>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★（三）安全文明管养措施</w:t>
            </w:r>
          </w:p>
          <w:p w14:paraId="5077860B">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1.中标人应建立各项安全管理制度，并结合园林管养施工项目的特点，明确各级各类人员安全生产责任制，要求全体人员必须认真遵守。</w:t>
            </w:r>
          </w:p>
          <w:p w14:paraId="55547321">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2.每项工序必须设立施工安全领导责任人，负责管养施工现场的安全工作，对管养施工安全行使监督检查职能，并对安全事故负领导责任。</w:t>
            </w:r>
          </w:p>
          <w:p w14:paraId="3FE75426">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3.安全责任人应实行每月对现场管养施工人员做好安全教育、做好岗前培训，指导作业人员遵守机械安全操作规程，安全技术规程、定期检查机械安全性能或安全生产意识，牢固竖立“安全第一”思想。</w:t>
            </w:r>
          </w:p>
          <w:p w14:paraId="55BA59B7">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4.道路作业时，作业人员应穿反光衣，并设置施工安全警示牌，带班领导应教育作业人员注意道路交通安全。</w:t>
            </w:r>
          </w:p>
          <w:p w14:paraId="334C1A7A">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5.中标人在管养期间必须注意好安全生产行为，无论在何时何地发生纠纷或事故均与采购人无关，一切经济责任和法律责任由中标人负责。</w:t>
            </w:r>
          </w:p>
          <w:p w14:paraId="438C445E">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中标人必须对园林机械的操作人员进行岗前培训和每月对全体员工开展安全培训。凡需持证上岗的岗位，员工必须持相关有效证件上岗。养护作业时必须着统一的工作服，各种机械、机具的操作，要符合安全操作规程。</w:t>
            </w:r>
          </w:p>
          <w:p w14:paraId="77522573">
            <w:pPr>
              <w:pageBreakBefore w:val="0"/>
              <w:kinsoku/>
              <w:wordWrap/>
              <w:overflowPunct/>
              <w:topLinePunct w:val="0"/>
              <w:bidi w:val="0"/>
              <w:spacing w:line="360" w:lineRule="auto"/>
              <w:ind w:firstLine="402" w:firstLineChars="200"/>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（四）</w:t>
            </w:r>
            <w:r>
              <w:rPr>
                <w:rFonts w:hint="eastAsia" w:ascii="宋体" w:hAnsi="宋体" w:eastAsia="宋体" w:cs="宋体"/>
                <w:b/>
                <w:color w:val="auto"/>
                <w:sz w:val="20"/>
                <w:szCs w:val="20"/>
                <w:highlight w:val="none"/>
                <w:lang w:val="en-US" w:eastAsia="zh-CN"/>
              </w:rPr>
              <w:t>人员</w:t>
            </w:r>
            <w:r>
              <w:rPr>
                <w:rFonts w:hint="eastAsia" w:ascii="宋体" w:hAnsi="宋体" w:eastAsia="宋体" w:cs="宋体"/>
                <w:b/>
                <w:color w:val="auto"/>
                <w:sz w:val="20"/>
                <w:szCs w:val="20"/>
                <w:highlight w:val="none"/>
              </w:rPr>
              <w:t>基本要求</w:t>
            </w:r>
          </w:p>
          <w:p w14:paraId="5B927AA6">
            <w:pPr>
              <w:pStyle w:val="19"/>
              <w:pageBreakBefore w:val="0"/>
              <w:kinsoku/>
              <w:wordWrap/>
              <w:overflowPunct/>
              <w:topLinePunct w:val="0"/>
              <w:bidi w:val="0"/>
              <w:spacing w:line="360" w:lineRule="auto"/>
              <w:ind w:firstLine="402"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lang w:val="en-US" w:eastAsia="zh-CN"/>
              </w:rPr>
              <w:t>1.</w:t>
            </w:r>
            <w:r>
              <w:rPr>
                <w:rFonts w:hint="eastAsia" w:ascii="宋体" w:hAnsi="宋体" w:eastAsia="宋体" w:cs="宋体"/>
                <w:b/>
                <w:color w:val="auto"/>
                <w:sz w:val="20"/>
                <w:szCs w:val="20"/>
                <w:highlight w:val="none"/>
              </w:rPr>
              <w:t>人员要求：</w:t>
            </w:r>
          </w:p>
          <w:tbl>
            <w:tblPr>
              <w:tblStyle w:val="10"/>
              <w:tblW w:w="7138"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31"/>
              <w:gridCol w:w="1324"/>
              <w:gridCol w:w="1092"/>
              <w:gridCol w:w="1845"/>
              <w:gridCol w:w="2246"/>
            </w:tblGrid>
            <w:tr w14:paraId="0758A7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631"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center"/>
                </w:tcPr>
                <w:p w14:paraId="7479A268">
                  <w:pPr>
                    <w:pStyle w:val="19"/>
                    <w:pageBreakBefore w:val="0"/>
                    <w:kinsoku/>
                    <w:wordWrap/>
                    <w:overflowPunct/>
                    <w:topLinePunct w:val="0"/>
                    <w:bidi w:val="0"/>
                    <w:spacing w:line="360" w:lineRule="auto"/>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序号</w:t>
                  </w:r>
                </w:p>
              </w:tc>
              <w:tc>
                <w:tcPr>
                  <w:tcW w:w="1324" w:type="dxa"/>
                  <w:tcBorders>
                    <w:top w:val="single" w:color="000000" w:sz="8" w:space="0"/>
                    <w:left w:val="nil"/>
                    <w:bottom w:val="single" w:color="000000" w:sz="8" w:space="0"/>
                    <w:right w:val="single" w:color="000000" w:sz="8" w:space="0"/>
                  </w:tcBorders>
                  <w:tcMar>
                    <w:top w:w="0" w:type="dxa"/>
                    <w:left w:w="105" w:type="dxa"/>
                    <w:bottom w:w="0" w:type="dxa"/>
                    <w:right w:w="105" w:type="dxa"/>
                  </w:tcMar>
                  <w:vAlign w:val="center"/>
                </w:tcPr>
                <w:p w14:paraId="31C3D4B2">
                  <w:pPr>
                    <w:pStyle w:val="19"/>
                    <w:pageBreakBefore w:val="0"/>
                    <w:kinsoku/>
                    <w:wordWrap/>
                    <w:overflowPunct/>
                    <w:topLinePunct w:val="0"/>
                    <w:bidi w:val="0"/>
                    <w:spacing w:line="360" w:lineRule="auto"/>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人员名称</w:t>
                  </w:r>
                </w:p>
              </w:tc>
              <w:tc>
                <w:tcPr>
                  <w:tcW w:w="1092" w:type="dxa"/>
                  <w:tcBorders>
                    <w:top w:val="single" w:color="000000" w:sz="8" w:space="0"/>
                    <w:left w:val="nil"/>
                    <w:bottom w:val="single" w:color="000000" w:sz="8" w:space="0"/>
                    <w:right w:val="single" w:color="000000" w:sz="8" w:space="0"/>
                  </w:tcBorders>
                  <w:tcMar>
                    <w:top w:w="0" w:type="dxa"/>
                    <w:left w:w="105" w:type="dxa"/>
                    <w:bottom w:w="0" w:type="dxa"/>
                    <w:right w:w="105" w:type="dxa"/>
                  </w:tcMar>
                  <w:vAlign w:val="center"/>
                </w:tcPr>
                <w:p w14:paraId="0FA722CC">
                  <w:pPr>
                    <w:pStyle w:val="19"/>
                    <w:pageBreakBefore w:val="0"/>
                    <w:kinsoku/>
                    <w:wordWrap/>
                    <w:overflowPunct/>
                    <w:topLinePunct w:val="0"/>
                    <w:bidi w:val="0"/>
                    <w:spacing w:line="360" w:lineRule="auto"/>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数量</w:t>
                  </w:r>
                </w:p>
              </w:tc>
              <w:tc>
                <w:tcPr>
                  <w:tcW w:w="1845" w:type="dxa"/>
                  <w:tcBorders>
                    <w:top w:val="single" w:color="000000" w:sz="8" w:space="0"/>
                    <w:left w:val="nil"/>
                    <w:bottom w:val="single" w:color="000000" w:sz="8" w:space="0"/>
                    <w:right w:val="single" w:color="000000" w:sz="8" w:space="0"/>
                  </w:tcBorders>
                  <w:tcMar>
                    <w:top w:w="0" w:type="dxa"/>
                    <w:left w:w="105" w:type="dxa"/>
                    <w:bottom w:w="0" w:type="dxa"/>
                    <w:right w:w="105" w:type="dxa"/>
                  </w:tcMar>
                  <w:vAlign w:val="center"/>
                </w:tcPr>
                <w:p w14:paraId="310EABB3">
                  <w:pPr>
                    <w:pStyle w:val="19"/>
                    <w:pageBreakBefore w:val="0"/>
                    <w:kinsoku/>
                    <w:wordWrap/>
                    <w:overflowPunct/>
                    <w:topLinePunct w:val="0"/>
                    <w:bidi w:val="0"/>
                    <w:spacing w:line="360" w:lineRule="auto"/>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要求</w:t>
                  </w:r>
                </w:p>
              </w:tc>
              <w:tc>
                <w:tcPr>
                  <w:tcW w:w="2246" w:type="dxa"/>
                  <w:tcBorders>
                    <w:top w:val="single" w:color="000000" w:sz="8" w:space="0"/>
                    <w:left w:val="nil"/>
                    <w:bottom w:val="single" w:color="000000" w:sz="8" w:space="0"/>
                    <w:right w:val="single" w:color="000000" w:sz="8" w:space="0"/>
                  </w:tcBorders>
                  <w:tcMar>
                    <w:top w:w="0" w:type="dxa"/>
                    <w:left w:w="105" w:type="dxa"/>
                    <w:bottom w:w="0" w:type="dxa"/>
                    <w:right w:w="105" w:type="dxa"/>
                  </w:tcMar>
                  <w:vAlign w:val="center"/>
                </w:tcPr>
                <w:p w14:paraId="2C45CB0F">
                  <w:pPr>
                    <w:pStyle w:val="19"/>
                    <w:pageBreakBefore w:val="0"/>
                    <w:kinsoku/>
                    <w:wordWrap/>
                    <w:overflowPunct/>
                    <w:topLinePunct w:val="0"/>
                    <w:bidi w:val="0"/>
                    <w:spacing w:line="360" w:lineRule="auto"/>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备注</w:t>
                  </w:r>
                </w:p>
              </w:tc>
            </w:tr>
            <w:tr w14:paraId="4669C7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57" w:hRule="atLeast"/>
                <w:jc w:val="center"/>
              </w:trPr>
              <w:tc>
                <w:tcPr>
                  <w:tcW w:w="631"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7EB15BED">
                  <w:pPr>
                    <w:pStyle w:val="19"/>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324"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0B2CA49E">
                  <w:pPr>
                    <w:pStyle w:val="19"/>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项目负责人</w:t>
                  </w:r>
                </w:p>
              </w:tc>
              <w:tc>
                <w:tcPr>
                  <w:tcW w:w="109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10DE80F5">
                  <w:pPr>
                    <w:pStyle w:val="19"/>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1名</w:t>
                  </w:r>
                </w:p>
              </w:tc>
              <w:tc>
                <w:tcPr>
                  <w:tcW w:w="184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1500B658">
                  <w:pPr>
                    <w:pStyle w:val="19"/>
                    <w:pageBreakBefore w:val="0"/>
                    <w:kinsoku/>
                    <w:wordWrap/>
                    <w:overflowPunct/>
                    <w:topLinePunct w:val="0"/>
                    <w:bidi w:val="0"/>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具有园林专业</w:t>
                  </w:r>
                  <w:r>
                    <w:rPr>
                      <w:rFonts w:hint="eastAsia" w:ascii="宋体" w:hAnsi="宋体" w:eastAsia="宋体" w:cs="宋体"/>
                      <w:color w:val="auto"/>
                      <w:sz w:val="20"/>
                      <w:szCs w:val="20"/>
                      <w:highlight w:val="none"/>
                      <w:lang w:val="en-US" w:eastAsia="zh-CN"/>
                    </w:rPr>
                    <w:t>中级</w:t>
                  </w:r>
                  <w:r>
                    <w:rPr>
                      <w:rFonts w:hint="eastAsia" w:ascii="宋体" w:hAnsi="宋体" w:eastAsia="宋体" w:cs="宋体"/>
                      <w:color w:val="auto"/>
                      <w:sz w:val="20"/>
                      <w:szCs w:val="20"/>
                      <w:highlight w:val="none"/>
                    </w:rPr>
                    <w:t>工程师（或以上）职称</w:t>
                  </w:r>
                </w:p>
              </w:tc>
              <w:tc>
                <w:tcPr>
                  <w:tcW w:w="2246" w:type="dxa"/>
                  <w:vMerge w:val="restart"/>
                  <w:tcBorders>
                    <w:top w:val="nil"/>
                    <w:left w:val="nil"/>
                    <w:right w:val="single" w:color="000000" w:sz="8" w:space="0"/>
                  </w:tcBorders>
                  <w:tcMar>
                    <w:top w:w="0" w:type="dxa"/>
                    <w:left w:w="105" w:type="dxa"/>
                    <w:bottom w:w="0" w:type="dxa"/>
                    <w:right w:w="105" w:type="dxa"/>
                  </w:tcMar>
                  <w:vAlign w:val="top"/>
                </w:tcPr>
                <w:p w14:paraId="26AD6D2B">
                  <w:pPr>
                    <w:pStyle w:val="19"/>
                    <w:pageBreakBefore w:val="0"/>
                    <w:kinsoku/>
                    <w:wordWrap/>
                    <w:overflowPunct/>
                    <w:topLinePunct w:val="0"/>
                    <w:bidi w:val="0"/>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园林专业指园林（含园林规划设计、园林植物、风景园林、园林绿化等）、园艺、城市规划、景观、植物（含植保、森保等）、风景旅游、环境艺术等专业。</w:t>
                  </w:r>
                </w:p>
              </w:tc>
            </w:tr>
            <w:tr w14:paraId="066692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631"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3A6E96F7">
                  <w:pPr>
                    <w:pStyle w:val="19"/>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1324"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54DDA718">
                  <w:pPr>
                    <w:pStyle w:val="19"/>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现场管理人员</w:t>
                  </w:r>
                </w:p>
              </w:tc>
              <w:tc>
                <w:tcPr>
                  <w:tcW w:w="109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0908186B">
                  <w:pPr>
                    <w:pStyle w:val="19"/>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1名</w:t>
                  </w:r>
                </w:p>
              </w:tc>
              <w:tc>
                <w:tcPr>
                  <w:tcW w:w="1845" w:type="dxa"/>
                  <w:tcBorders>
                    <w:top w:val="nil"/>
                    <w:left w:val="nil"/>
                    <w:bottom w:val="single" w:color="auto" w:sz="4" w:space="0"/>
                    <w:right w:val="single" w:color="000000" w:sz="8" w:space="0"/>
                  </w:tcBorders>
                  <w:tcMar>
                    <w:top w:w="0" w:type="dxa"/>
                    <w:left w:w="105" w:type="dxa"/>
                    <w:bottom w:w="0" w:type="dxa"/>
                    <w:right w:w="105" w:type="dxa"/>
                  </w:tcMar>
                  <w:vAlign w:val="center"/>
                </w:tcPr>
                <w:p w14:paraId="786685F6">
                  <w:pPr>
                    <w:pStyle w:val="19"/>
                    <w:pageBreakBefore w:val="0"/>
                    <w:kinsoku/>
                    <w:wordWrap/>
                    <w:overflowPunct/>
                    <w:topLinePunct w:val="0"/>
                    <w:bidi w:val="0"/>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具有园林专业助理工程师（或以上）职称</w:t>
                  </w:r>
                </w:p>
              </w:tc>
              <w:tc>
                <w:tcPr>
                  <w:tcW w:w="2246" w:type="dxa"/>
                  <w:vMerge w:val="continue"/>
                  <w:tcBorders>
                    <w:left w:val="nil"/>
                    <w:bottom w:val="single" w:color="auto" w:sz="4" w:space="0"/>
                    <w:right w:val="single" w:color="000000" w:sz="8" w:space="0"/>
                  </w:tcBorders>
                </w:tcPr>
                <w:p w14:paraId="19C1E211">
                  <w:pPr>
                    <w:pageBreakBefore w:val="0"/>
                    <w:kinsoku/>
                    <w:wordWrap/>
                    <w:overflowPunct/>
                    <w:topLinePunct w:val="0"/>
                    <w:bidi w:val="0"/>
                    <w:spacing w:line="360" w:lineRule="auto"/>
                    <w:textAlignment w:val="auto"/>
                    <w:rPr>
                      <w:rFonts w:hint="eastAsia" w:ascii="宋体" w:hAnsi="宋体" w:eastAsia="宋体" w:cs="宋体"/>
                      <w:color w:val="auto"/>
                      <w:sz w:val="20"/>
                      <w:szCs w:val="20"/>
                      <w:highlight w:val="none"/>
                    </w:rPr>
                  </w:pPr>
                </w:p>
              </w:tc>
            </w:tr>
            <w:tr w14:paraId="2D3E2A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31" w:type="dxa"/>
                  <w:tcBorders>
                    <w:top w:val="nil"/>
                    <w:left w:val="single" w:color="000000" w:sz="8" w:space="0"/>
                    <w:bottom w:val="single" w:color="000000" w:sz="8" w:space="0"/>
                    <w:right w:val="single" w:color="000000" w:sz="8" w:space="0"/>
                  </w:tcBorders>
                  <w:shd w:val="clear" w:color="auto" w:fill="auto"/>
                  <w:tcMar>
                    <w:top w:w="0" w:type="dxa"/>
                    <w:left w:w="105" w:type="dxa"/>
                    <w:bottom w:w="0" w:type="dxa"/>
                    <w:right w:w="105" w:type="dxa"/>
                  </w:tcMar>
                  <w:vAlign w:val="center"/>
                </w:tcPr>
                <w:p w14:paraId="7D2066A5">
                  <w:pPr>
                    <w:pStyle w:val="19"/>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highlight w:val="none"/>
                      <w:lang w:val="en-US" w:eastAsia="zh-Hans" w:bidi="ar-SA"/>
                    </w:rPr>
                  </w:pPr>
                  <w:r>
                    <w:rPr>
                      <w:rFonts w:hint="eastAsia" w:ascii="宋体" w:hAnsi="宋体" w:eastAsia="宋体" w:cs="宋体"/>
                      <w:color w:val="auto"/>
                      <w:sz w:val="20"/>
                      <w:szCs w:val="20"/>
                      <w:highlight w:val="none"/>
                    </w:rPr>
                    <w:t>3</w:t>
                  </w:r>
                </w:p>
              </w:tc>
              <w:tc>
                <w:tcPr>
                  <w:tcW w:w="1324" w:type="dxa"/>
                  <w:tcBorders>
                    <w:top w:val="nil"/>
                    <w:left w:val="nil"/>
                    <w:bottom w:val="single" w:color="000000" w:sz="8" w:space="0"/>
                    <w:right w:val="single" w:color="000000" w:sz="8" w:space="0"/>
                  </w:tcBorders>
                  <w:shd w:val="clear" w:color="auto" w:fill="auto"/>
                  <w:tcMar>
                    <w:top w:w="0" w:type="dxa"/>
                    <w:left w:w="105" w:type="dxa"/>
                    <w:bottom w:w="0" w:type="dxa"/>
                    <w:right w:w="105" w:type="dxa"/>
                  </w:tcMar>
                  <w:vAlign w:val="center"/>
                </w:tcPr>
                <w:p w14:paraId="2F1CDE90">
                  <w:pPr>
                    <w:pStyle w:val="19"/>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highlight w:val="none"/>
                      <w:lang w:val="en-US" w:eastAsia="zh-Hans" w:bidi="ar-SA"/>
                    </w:rPr>
                  </w:pPr>
                  <w:r>
                    <w:rPr>
                      <w:rFonts w:hint="eastAsia" w:ascii="宋体" w:hAnsi="宋体" w:eastAsia="宋体" w:cs="宋体"/>
                      <w:color w:val="auto"/>
                      <w:sz w:val="20"/>
                      <w:szCs w:val="20"/>
                      <w:highlight w:val="none"/>
                    </w:rPr>
                    <w:t>安全员</w:t>
                  </w:r>
                </w:p>
              </w:tc>
              <w:tc>
                <w:tcPr>
                  <w:tcW w:w="1092" w:type="dxa"/>
                  <w:tcBorders>
                    <w:top w:val="nil"/>
                    <w:left w:val="nil"/>
                    <w:bottom w:val="single" w:color="000000" w:sz="8" w:space="0"/>
                    <w:right w:val="single" w:color="000000" w:sz="8" w:space="0"/>
                  </w:tcBorders>
                  <w:shd w:val="clear" w:color="auto" w:fill="auto"/>
                  <w:tcMar>
                    <w:top w:w="0" w:type="dxa"/>
                    <w:left w:w="105" w:type="dxa"/>
                    <w:bottom w:w="0" w:type="dxa"/>
                    <w:right w:w="105" w:type="dxa"/>
                  </w:tcMar>
                  <w:vAlign w:val="center"/>
                </w:tcPr>
                <w:p w14:paraId="43C91F91">
                  <w:pPr>
                    <w:pStyle w:val="19"/>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highlight w:val="none"/>
                      <w:lang w:val="en-US" w:eastAsia="zh-Hans" w:bidi="ar-SA"/>
                    </w:rPr>
                  </w:pPr>
                  <w:r>
                    <w:rPr>
                      <w:rFonts w:hint="eastAsia" w:ascii="宋体" w:hAnsi="宋体" w:eastAsia="宋体" w:cs="宋体"/>
                      <w:color w:val="auto"/>
                      <w:sz w:val="20"/>
                      <w:szCs w:val="20"/>
                      <w:highlight w:val="none"/>
                    </w:rPr>
                    <w:t>1名</w:t>
                  </w:r>
                </w:p>
              </w:tc>
              <w:tc>
                <w:tcPr>
                  <w:tcW w:w="1845" w:type="dxa"/>
                  <w:tcBorders>
                    <w:top w:val="single" w:color="auto" w:sz="4" w:space="0"/>
                    <w:left w:val="nil"/>
                    <w:bottom w:val="single" w:color="000000" w:sz="8" w:space="0"/>
                    <w:right w:val="single" w:color="000000" w:sz="8" w:space="0"/>
                  </w:tcBorders>
                  <w:shd w:val="clear" w:color="auto" w:fill="auto"/>
                  <w:tcMar>
                    <w:top w:w="0" w:type="dxa"/>
                    <w:left w:w="105" w:type="dxa"/>
                    <w:bottom w:w="0" w:type="dxa"/>
                    <w:right w:w="105" w:type="dxa"/>
                  </w:tcMar>
                  <w:vAlign w:val="center"/>
                </w:tcPr>
                <w:p w14:paraId="3694B12E">
                  <w:pPr>
                    <w:pStyle w:val="19"/>
                    <w:pageBreakBefore w:val="0"/>
                    <w:kinsoku/>
                    <w:wordWrap/>
                    <w:overflowPunct/>
                    <w:topLinePunct w:val="0"/>
                    <w:bidi w:val="0"/>
                    <w:spacing w:line="360" w:lineRule="auto"/>
                    <w:jc w:val="both"/>
                    <w:textAlignment w:val="auto"/>
                    <w:rPr>
                      <w:rFonts w:hint="eastAsia" w:ascii="宋体" w:hAnsi="宋体" w:eastAsia="宋体" w:cs="宋体"/>
                      <w:color w:val="auto"/>
                      <w:sz w:val="20"/>
                      <w:szCs w:val="20"/>
                      <w:highlight w:val="none"/>
                      <w:lang w:val="en-US" w:eastAsia="zh-Hans" w:bidi="ar-SA"/>
                    </w:rPr>
                  </w:pPr>
                  <w:r>
                    <w:rPr>
                      <w:rFonts w:hint="eastAsia" w:ascii="宋体" w:hAnsi="宋体" w:eastAsia="宋体" w:cs="宋体"/>
                      <w:color w:val="auto"/>
                      <w:sz w:val="20"/>
                      <w:szCs w:val="20"/>
                      <w:highlight w:val="none"/>
                    </w:rPr>
                    <w:t>取得安全生产考核合格证（C类）</w:t>
                  </w:r>
                </w:p>
              </w:tc>
              <w:tc>
                <w:tcPr>
                  <w:tcW w:w="2246" w:type="dxa"/>
                  <w:tcBorders>
                    <w:top w:val="single" w:color="auto" w:sz="4" w:space="0"/>
                    <w:left w:val="nil"/>
                    <w:bottom w:val="single" w:color="000000" w:sz="8" w:space="0"/>
                    <w:right w:val="single" w:color="000000" w:sz="8" w:space="0"/>
                  </w:tcBorders>
                  <w:tcMar>
                    <w:top w:w="0" w:type="dxa"/>
                    <w:left w:w="105" w:type="dxa"/>
                    <w:bottom w:w="0" w:type="dxa"/>
                    <w:right w:w="105" w:type="dxa"/>
                  </w:tcMar>
                  <w:vAlign w:val="top"/>
                </w:tcPr>
                <w:p w14:paraId="3EB455CA">
                  <w:pPr>
                    <w:pStyle w:val="19"/>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highlight w:val="none"/>
                    </w:rPr>
                  </w:pPr>
                </w:p>
              </w:tc>
            </w:tr>
            <w:tr w14:paraId="6CF974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31"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08282AEF">
                  <w:pPr>
                    <w:pStyle w:val="19"/>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1324"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77B12851">
                  <w:pPr>
                    <w:pStyle w:val="19"/>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资料员</w:t>
                  </w:r>
                </w:p>
              </w:tc>
              <w:tc>
                <w:tcPr>
                  <w:tcW w:w="109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5C25F8B7">
                  <w:pPr>
                    <w:pStyle w:val="19"/>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1名</w:t>
                  </w:r>
                </w:p>
              </w:tc>
              <w:tc>
                <w:tcPr>
                  <w:tcW w:w="184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7F62C9F3">
                  <w:pPr>
                    <w:pStyle w:val="19"/>
                    <w:pageBreakBefore w:val="0"/>
                    <w:kinsoku/>
                    <w:wordWrap/>
                    <w:overflowPunct/>
                    <w:topLinePunct w:val="0"/>
                    <w:bidi w:val="0"/>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取得相关资料员培训证书</w:t>
                  </w:r>
                </w:p>
              </w:tc>
              <w:tc>
                <w:tcPr>
                  <w:tcW w:w="2246" w:type="dxa"/>
                  <w:tcBorders>
                    <w:top w:val="nil"/>
                    <w:left w:val="nil"/>
                    <w:bottom w:val="single" w:color="000000" w:sz="8" w:space="0"/>
                    <w:right w:val="single" w:color="000000" w:sz="8" w:space="0"/>
                  </w:tcBorders>
                  <w:tcMar>
                    <w:top w:w="0" w:type="dxa"/>
                    <w:left w:w="105" w:type="dxa"/>
                    <w:bottom w:w="0" w:type="dxa"/>
                    <w:right w:w="105" w:type="dxa"/>
                  </w:tcMar>
                  <w:vAlign w:val="top"/>
                </w:tcPr>
                <w:p w14:paraId="44D942C8">
                  <w:pPr>
                    <w:pStyle w:val="19"/>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highlight w:val="none"/>
                    </w:rPr>
                  </w:pPr>
                </w:p>
              </w:tc>
            </w:tr>
            <w:tr w14:paraId="77CE3A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31"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14:paraId="7C73A3A9">
                  <w:pPr>
                    <w:pStyle w:val="19"/>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1324"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1625522F">
                  <w:pPr>
                    <w:pStyle w:val="19"/>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其他工作人员</w:t>
                  </w:r>
                </w:p>
              </w:tc>
              <w:tc>
                <w:tcPr>
                  <w:tcW w:w="1092"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38E2B712">
                  <w:pPr>
                    <w:pStyle w:val="19"/>
                    <w:pageBreakBefore w:val="0"/>
                    <w:kinsoku/>
                    <w:wordWrap/>
                    <w:overflowPunct/>
                    <w:topLinePunct w:val="0"/>
                    <w:bidi w:val="0"/>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不少于</w:t>
                  </w:r>
                  <w:r>
                    <w:rPr>
                      <w:rFonts w:hint="eastAsia" w:ascii="宋体" w:hAnsi="宋体" w:eastAsia="宋体" w:cs="宋体"/>
                      <w:color w:val="auto"/>
                      <w:sz w:val="20"/>
                      <w:szCs w:val="20"/>
                      <w:highlight w:val="none"/>
                      <w:lang w:val="en-US" w:eastAsia="zh-CN"/>
                    </w:rPr>
                    <w:t>15</w:t>
                  </w:r>
                  <w:r>
                    <w:rPr>
                      <w:rFonts w:hint="eastAsia" w:ascii="宋体" w:hAnsi="宋体" w:eastAsia="宋体" w:cs="宋体"/>
                      <w:color w:val="auto"/>
                      <w:sz w:val="20"/>
                      <w:szCs w:val="20"/>
                      <w:highlight w:val="none"/>
                    </w:rPr>
                    <w:t>名</w:t>
                  </w:r>
                </w:p>
              </w:tc>
              <w:tc>
                <w:tcPr>
                  <w:tcW w:w="1845" w:type="dxa"/>
                  <w:tcBorders>
                    <w:top w:val="nil"/>
                    <w:left w:val="nil"/>
                    <w:bottom w:val="single" w:color="000000" w:sz="8" w:space="0"/>
                    <w:right w:val="single" w:color="000000" w:sz="8" w:space="0"/>
                  </w:tcBorders>
                  <w:tcMar>
                    <w:top w:w="0" w:type="dxa"/>
                    <w:left w:w="105" w:type="dxa"/>
                    <w:bottom w:w="0" w:type="dxa"/>
                    <w:right w:w="105" w:type="dxa"/>
                  </w:tcMar>
                  <w:vAlign w:val="center"/>
                </w:tcPr>
                <w:p w14:paraId="1B843E3D">
                  <w:pPr>
                    <w:pStyle w:val="19"/>
                    <w:pageBreakBefore w:val="0"/>
                    <w:kinsoku/>
                    <w:wordWrap/>
                    <w:overflowPunct/>
                    <w:topLinePunct w:val="0"/>
                    <w:bidi w:val="0"/>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取得园林绿化工相关证书</w:t>
                  </w:r>
                </w:p>
              </w:tc>
              <w:tc>
                <w:tcPr>
                  <w:tcW w:w="2246" w:type="dxa"/>
                  <w:tcBorders>
                    <w:top w:val="nil"/>
                    <w:left w:val="nil"/>
                    <w:bottom w:val="single" w:color="000000" w:sz="8" w:space="0"/>
                    <w:right w:val="single" w:color="000000" w:sz="8" w:space="0"/>
                  </w:tcBorders>
                  <w:tcMar>
                    <w:top w:w="0" w:type="dxa"/>
                    <w:left w:w="105" w:type="dxa"/>
                    <w:bottom w:w="0" w:type="dxa"/>
                    <w:right w:w="105" w:type="dxa"/>
                  </w:tcMar>
                  <w:vAlign w:val="top"/>
                </w:tcPr>
                <w:p w14:paraId="38FDA0B8">
                  <w:pPr>
                    <w:pStyle w:val="19"/>
                    <w:pageBreakBefore w:val="0"/>
                    <w:kinsoku/>
                    <w:wordWrap/>
                    <w:overflowPunct/>
                    <w:topLinePunct w:val="0"/>
                    <w:bidi w:val="0"/>
                    <w:spacing w:line="360" w:lineRule="auto"/>
                    <w:jc w:val="both"/>
                    <w:textAlignment w:val="auto"/>
                    <w:rPr>
                      <w:rFonts w:hint="eastAsia" w:ascii="宋体" w:hAnsi="宋体" w:eastAsia="宋体" w:cs="宋体"/>
                      <w:color w:val="auto"/>
                      <w:sz w:val="20"/>
                      <w:szCs w:val="20"/>
                      <w:highlight w:val="none"/>
                    </w:rPr>
                  </w:pPr>
                </w:p>
              </w:tc>
            </w:tr>
          </w:tbl>
          <w:p w14:paraId="2F5674BC">
            <w:pPr>
              <w:pStyle w:val="19"/>
              <w:keepNext w:val="0"/>
              <w:keepLines w:val="0"/>
              <w:pageBreakBefore w:val="0"/>
              <w:kinsoku/>
              <w:wordWrap/>
              <w:overflowPunct/>
              <w:topLinePunct w:val="0"/>
              <w:autoSpaceDE/>
              <w:autoSpaceDN/>
              <w:bidi w:val="0"/>
              <w:adjustRightInd/>
              <w:snapToGrid w:val="0"/>
              <w:spacing w:line="360" w:lineRule="auto"/>
              <w:ind w:firstLine="42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注：拟投入项目部人员不限于但至少要满足上表要求，投入的人员必须保证能满足本项目的需要，同一人员不得兼任本项目的两个或多个岗位。</w:t>
            </w:r>
          </w:p>
          <w:p w14:paraId="325214A0">
            <w:pPr>
              <w:keepNext w:val="0"/>
              <w:keepLines w:val="0"/>
              <w:pageBreakBefore w:val="0"/>
              <w:kinsoku/>
              <w:wordWrap/>
              <w:overflowPunct/>
              <w:topLinePunct w:val="0"/>
              <w:autoSpaceDE/>
              <w:autoSpaceDN/>
              <w:bidi w:val="0"/>
              <w:adjustRightInd/>
              <w:snapToGrid w:val="0"/>
              <w:spacing w:line="360" w:lineRule="auto"/>
              <w:ind w:firstLine="402" w:firstLineChars="200"/>
              <w:textAlignment w:val="auto"/>
              <w:rPr>
                <w:rFonts w:hint="eastAsia" w:ascii="宋体" w:hAnsi="宋体" w:eastAsia="宋体" w:cs="宋体"/>
                <w:b/>
                <w:bCs w:val="0"/>
                <w:color w:val="auto"/>
                <w:sz w:val="20"/>
                <w:szCs w:val="20"/>
                <w:highlight w:val="none"/>
              </w:rPr>
            </w:pPr>
            <w:r>
              <w:rPr>
                <w:rFonts w:hint="eastAsia" w:ascii="宋体" w:hAnsi="宋体" w:eastAsia="宋体" w:cs="宋体"/>
                <w:b/>
                <w:bCs w:val="0"/>
                <w:color w:val="auto"/>
                <w:sz w:val="20"/>
                <w:szCs w:val="20"/>
                <w:highlight w:val="none"/>
              </w:rPr>
              <w:t>★</w:t>
            </w:r>
            <w:r>
              <w:rPr>
                <w:rFonts w:hint="eastAsia" w:ascii="宋体" w:hAnsi="宋体" w:eastAsia="宋体" w:cs="宋体"/>
                <w:b/>
                <w:bCs w:val="0"/>
                <w:color w:val="auto"/>
                <w:sz w:val="20"/>
                <w:szCs w:val="20"/>
                <w:highlight w:val="none"/>
                <w:lang w:val="en-US" w:eastAsia="zh-CN"/>
              </w:rPr>
              <w:t>2.</w:t>
            </w:r>
            <w:r>
              <w:rPr>
                <w:rFonts w:hint="eastAsia" w:ascii="宋体" w:hAnsi="宋体" w:eastAsia="宋体" w:cs="宋体"/>
                <w:b/>
                <w:bCs w:val="0"/>
                <w:color w:val="auto"/>
                <w:sz w:val="20"/>
                <w:szCs w:val="20"/>
                <w:highlight w:val="none"/>
              </w:rPr>
              <w:t>中标人应安排投标文件中拟投入的项目负责人，在合同期内按时到岗参与日常管理工作，认真按合同约定要求，做好全过程、全方位的绿化管养管理。如确需更换，按</w:t>
            </w:r>
            <w:r>
              <w:rPr>
                <w:rFonts w:hint="eastAsia" w:ascii="宋体" w:hAnsi="宋体" w:eastAsia="宋体" w:cs="宋体"/>
                <w:b/>
                <w:bCs w:val="0"/>
                <w:color w:val="auto"/>
                <w:sz w:val="20"/>
                <w:szCs w:val="20"/>
                <w:highlight w:val="none"/>
                <w:shd w:val="clear" w:color="auto" w:fill="FFFFFF"/>
              </w:rPr>
              <w:t>粤建市〔2009〕8号的</w:t>
            </w:r>
            <w:r>
              <w:rPr>
                <w:rFonts w:hint="eastAsia" w:ascii="宋体" w:hAnsi="宋体" w:eastAsia="宋体" w:cs="宋体"/>
                <w:b/>
                <w:bCs w:val="0"/>
                <w:color w:val="auto"/>
                <w:sz w:val="20"/>
                <w:szCs w:val="20"/>
                <w:highlight w:val="none"/>
              </w:rPr>
              <w:t>有关规定执行。否则采购人有权单方解除合同，并报建设行政主管部门按有关规定从严处罚</w:t>
            </w:r>
            <w:r>
              <w:rPr>
                <w:rFonts w:hint="eastAsia" w:ascii="宋体" w:hAnsi="宋体" w:eastAsia="宋体" w:cs="宋体"/>
                <w:b/>
                <w:bCs w:val="0"/>
                <w:color w:val="auto"/>
                <w:sz w:val="20"/>
                <w:szCs w:val="20"/>
                <w:highlight w:val="none"/>
                <w:lang w:eastAsia="zh-CN"/>
              </w:rPr>
              <w:t>。</w:t>
            </w:r>
            <w:r>
              <w:rPr>
                <w:rFonts w:hint="eastAsia" w:ascii="宋体" w:hAnsi="宋体" w:eastAsia="宋体" w:cs="宋体"/>
                <w:b/>
                <w:bCs w:val="0"/>
                <w:color w:val="auto"/>
                <w:sz w:val="20"/>
                <w:szCs w:val="20"/>
                <w:highlight w:val="none"/>
              </w:rPr>
              <w:t>（投标文件提供书面承诺函并加盖投标人公章。）</w:t>
            </w:r>
          </w:p>
          <w:p w14:paraId="708658B6">
            <w:pPr>
              <w:keepNext w:val="0"/>
              <w:keepLines w:val="0"/>
              <w:pageBreakBefore w:val="0"/>
              <w:kinsoku/>
              <w:wordWrap/>
              <w:overflowPunct/>
              <w:topLinePunct w:val="0"/>
              <w:autoSpaceDE/>
              <w:autoSpaceDN/>
              <w:bidi w:val="0"/>
              <w:adjustRightInd/>
              <w:snapToGrid w:val="0"/>
              <w:spacing w:line="360" w:lineRule="auto"/>
              <w:ind w:firstLine="400" w:firstLineChars="200"/>
              <w:textAlignment w:val="auto"/>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sz w:val="20"/>
                <w:szCs w:val="20"/>
                <w:highlight w:val="none"/>
                <w:lang w:val="en-US" w:eastAsia="zh-CN"/>
              </w:rPr>
              <w:t>3.</w:t>
            </w:r>
            <w:r>
              <w:rPr>
                <w:rFonts w:hint="eastAsia" w:ascii="宋体" w:hAnsi="宋体" w:eastAsia="宋体" w:cs="宋体"/>
                <w:b w:val="0"/>
                <w:bCs/>
                <w:color w:val="auto"/>
                <w:sz w:val="20"/>
                <w:szCs w:val="20"/>
                <w:highlight w:val="none"/>
                <w:lang w:eastAsia="zh-CN"/>
              </w:rPr>
              <w:t>中标人</w:t>
            </w:r>
            <w:r>
              <w:rPr>
                <w:rFonts w:hint="eastAsia" w:ascii="宋体" w:hAnsi="宋体" w:eastAsia="宋体" w:cs="宋体"/>
                <w:b w:val="0"/>
                <w:bCs/>
                <w:color w:val="auto"/>
                <w:sz w:val="20"/>
                <w:szCs w:val="20"/>
                <w:highlight w:val="none"/>
                <w:lang w:val="en-US" w:eastAsia="zh-CN"/>
              </w:rPr>
              <w:t>为本项目配置的人员薪金待遇，按劳动合同法规定实施，不得低于各时期最新的中山市最低工资标准、社会保险基数及相关待遇调整的标准。</w:t>
            </w:r>
          </w:p>
          <w:p w14:paraId="01918488">
            <w:pPr>
              <w:pStyle w:val="20"/>
              <w:keepNext w:val="0"/>
              <w:keepLines w:val="0"/>
              <w:pageBreakBefore w:val="0"/>
              <w:kinsoku/>
              <w:wordWrap/>
              <w:overflowPunct/>
              <w:topLinePunct w:val="0"/>
              <w:autoSpaceDE/>
              <w:autoSpaceDN/>
              <w:bidi w:val="0"/>
              <w:adjustRightInd/>
              <w:snapToGrid w:val="0"/>
              <w:spacing w:line="360" w:lineRule="auto"/>
              <w:ind w:firstLine="402" w:firstLineChars="200"/>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五）投标人须承诺：一旦被确认为中标人，在入场1个月内必须在阜沙镇设有固定的办公场所，并安排有办公人员驻在办公室，节假日、台风暴雨期间有值班人员到位。（投标文件提供书面承诺函并加盖投标人公章。）</w:t>
            </w:r>
          </w:p>
          <w:p w14:paraId="2E29D0A0">
            <w:pPr>
              <w:keepNext w:val="0"/>
              <w:keepLines w:val="0"/>
              <w:pageBreakBefore w:val="0"/>
              <w:kinsoku/>
              <w:wordWrap/>
              <w:overflowPunct/>
              <w:topLinePunct w:val="0"/>
              <w:autoSpaceDE/>
              <w:autoSpaceDN/>
              <w:bidi w:val="0"/>
              <w:adjustRightInd/>
              <w:snapToGrid w:val="0"/>
              <w:spacing w:line="360" w:lineRule="auto"/>
              <w:ind w:firstLine="402" w:firstLineChars="200"/>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六）投标人须承诺：一旦被确认为中标人，在阜沙镇要有面积不少于1亩的育苗场地（可自有或租赁，租赁期不得短于本项目合同期），用于抚育临时开挖路口、改造绿化等工作迁移的树木。（投标文件提供书面承诺函并加盖投标人公章。）</w:t>
            </w:r>
          </w:p>
          <w:p w14:paraId="02CDE3D7">
            <w:pPr>
              <w:pageBreakBefore w:val="0"/>
              <w:kinsoku/>
              <w:wordWrap/>
              <w:overflowPunct/>
              <w:topLinePunct w:val="0"/>
              <w:bidi w:val="0"/>
              <w:spacing w:line="360" w:lineRule="auto"/>
              <w:ind w:firstLine="402" w:firstLineChars="200"/>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★（七）投标人须承诺：一旦被确认为中标人，在阜沙镇必须备有两台以上的洒水车、一台高空作业车、两台货车</w:t>
            </w:r>
            <w:r>
              <w:rPr>
                <w:rFonts w:hint="eastAsia" w:ascii="宋体" w:hAnsi="宋体" w:eastAsia="宋体" w:cs="宋体"/>
                <w:b/>
                <w:color w:val="auto"/>
                <w:sz w:val="20"/>
                <w:szCs w:val="20"/>
                <w:highlight w:val="none"/>
                <w:lang w:eastAsia="zh-CN"/>
              </w:rPr>
              <w:t>、剪草机不少于4台、油锯机不少于4台、割灌机不少于4台</w:t>
            </w:r>
            <w:r>
              <w:rPr>
                <w:rFonts w:hint="eastAsia" w:ascii="宋体" w:hAnsi="宋体" w:eastAsia="宋体" w:cs="宋体"/>
                <w:b/>
                <w:color w:val="auto"/>
                <w:sz w:val="20"/>
                <w:szCs w:val="20"/>
                <w:highlight w:val="none"/>
              </w:rPr>
              <w:t>等设备。（投标文件提供书面承诺函并加盖投标人公章。）</w:t>
            </w:r>
          </w:p>
          <w:p w14:paraId="4691CD56">
            <w:pPr>
              <w:pStyle w:val="19"/>
              <w:keepNext w:val="0"/>
              <w:keepLines w:val="0"/>
              <w:pageBreakBefore w:val="0"/>
              <w:widowControl/>
              <w:kinsoku/>
              <w:wordWrap/>
              <w:overflowPunct/>
              <w:topLinePunct w:val="0"/>
              <w:autoSpaceDE/>
              <w:autoSpaceDN/>
              <w:bidi w:val="0"/>
              <w:adjustRightInd/>
              <w:snapToGrid/>
              <w:spacing w:line="360" w:lineRule="auto"/>
              <w:ind w:firstLine="402" w:firstLineChars="200"/>
              <w:jc w:val="both"/>
              <w:textAlignment w:val="auto"/>
              <w:rPr>
                <w:rFonts w:hint="eastAsia" w:ascii="宋体" w:hAnsi="宋体" w:eastAsia="宋体" w:cs="宋体"/>
                <w:b w:val="0"/>
                <w:bCs/>
                <w:color w:val="auto"/>
                <w:kern w:val="2"/>
                <w:sz w:val="20"/>
                <w:szCs w:val="20"/>
                <w:highlight w:val="none"/>
                <w:lang w:eastAsia="zh-CN"/>
              </w:rPr>
            </w:pPr>
            <w:r>
              <w:rPr>
                <w:rFonts w:hint="eastAsia" w:ascii="宋体" w:hAnsi="宋体" w:eastAsia="宋体" w:cs="宋体"/>
                <w:b/>
                <w:color w:val="auto"/>
                <w:kern w:val="2"/>
                <w:sz w:val="20"/>
                <w:szCs w:val="20"/>
                <w:highlight w:val="none"/>
                <w:lang w:val="en-US" w:eastAsia="zh-CN" w:bidi="ar-SA"/>
              </w:rPr>
              <w:t>★（八）投标人须承诺：一旦被确认为中标人，投入本项目总人数不能少于20人，并在合同签订时提供所有人员的社保证明或用工合同原件供采购人查验，人员必须每天全员到位，缺少一人，处罚600元每人每次。（投标文件提供书面承诺函并加盖投标人公章。）</w:t>
            </w:r>
          </w:p>
        </w:tc>
      </w:tr>
      <w:tr w14:paraId="31513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1F867C4">
            <w:pPr>
              <w:pStyle w:val="19"/>
              <w:rPr>
                <w:rFonts w:hint="eastAsia" w:ascii="宋体" w:hAnsi="宋体" w:eastAsia="宋体" w:cs="宋体"/>
                <w:color w:val="auto"/>
                <w:sz w:val="20"/>
                <w:szCs w:val="20"/>
                <w:highlight w:val="none"/>
              </w:rPr>
            </w:pPr>
            <w:r>
              <w:rPr>
                <w:rFonts w:hint="eastAsia" w:ascii="宋体" w:hAnsi="宋体" w:eastAsia="宋体" w:cs="宋体"/>
                <w:color w:val="auto"/>
                <w:kern w:val="44"/>
                <w:sz w:val="20"/>
                <w:szCs w:val="20"/>
                <w:highlight w:val="none"/>
              </w:rPr>
              <w:t>★</w:t>
            </w:r>
          </w:p>
        </w:tc>
        <w:tc>
          <w:tcPr>
            <w:tcW w:w="415" w:type="dxa"/>
          </w:tcPr>
          <w:p w14:paraId="4A365E06">
            <w:pPr>
              <w:pStyle w:val="1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5</w:t>
            </w:r>
          </w:p>
        </w:tc>
        <w:tc>
          <w:tcPr>
            <w:tcW w:w="5814" w:type="dxa"/>
          </w:tcPr>
          <w:p w14:paraId="05D0EA01">
            <w:pPr>
              <w:pStyle w:val="3"/>
              <w:pageBreakBefore w:val="0"/>
              <w:kinsoku/>
              <w:wordWrap/>
              <w:overflowPunct/>
              <w:topLinePunct w:val="0"/>
              <w:bidi w:val="0"/>
              <w:spacing w:before="0" w:after="0" w:line="360" w:lineRule="auto"/>
              <w:textAlignment w:val="auto"/>
              <w:rPr>
                <w:rFonts w:hint="eastAsia" w:ascii="宋体" w:hAnsi="宋体" w:eastAsia="宋体" w:cs="宋体"/>
                <w:color w:val="auto"/>
                <w:kern w:val="44"/>
                <w:sz w:val="20"/>
                <w:szCs w:val="20"/>
                <w:highlight w:val="none"/>
              </w:rPr>
            </w:pPr>
            <w:r>
              <w:rPr>
                <w:rFonts w:hint="eastAsia" w:ascii="宋体" w:hAnsi="宋体" w:eastAsia="宋体" w:cs="宋体"/>
                <w:color w:val="auto"/>
                <w:kern w:val="44"/>
                <w:sz w:val="20"/>
                <w:szCs w:val="20"/>
                <w:highlight w:val="none"/>
                <w:lang w:eastAsia="zh-CN"/>
              </w:rPr>
              <w:t>五</w:t>
            </w:r>
            <w:r>
              <w:rPr>
                <w:rFonts w:hint="eastAsia" w:ascii="宋体" w:hAnsi="宋体" w:eastAsia="宋体" w:cs="宋体"/>
                <w:color w:val="auto"/>
                <w:kern w:val="44"/>
                <w:sz w:val="20"/>
                <w:szCs w:val="20"/>
                <w:highlight w:val="none"/>
              </w:rPr>
              <w:t>、其他要求</w:t>
            </w:r>
          </w:p>
          <w:p w14:paraId="6160989B">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一</w:t>
            </w:r>
            <w:r>
              <w:rPr>
                <w:rFonts w:hint="eastAsia" w:ascii="宋体" w:hAnsi="宋体" w:eastAsia="宋体" w:cs="宋体"/>
                <w:color w:val="auto"/>
                <w:sz w:val="20"/>
                <w:szCs w:val="20"/>
                <w:highlight w:val="none"/>
              </w:rPr>
              <w:t>）日常遇突发事件（如绿化苗木遭到人为破坏）和台风暴雨季节，中标人必须积极配合采购人开展相关工作，如绿化损坏理赔及修复、清理倒塌树木、支撑加固等。</w:t>
            </w:r>
          </w:p>
          <w:p w14:paraId="6175B282">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二</w:t>
            </w:r>
            <w:r>
              <w:rPr>
                <w:rFonts w:hint="eastAsia" w:ascii="宋体" w:hAnsi="宋体" w:eastAsia="宋体" w:cs="宋体"/>
                <w:color w:val="auto"/>
                <w:sz w:val="20"/>
                <w:szCs w:val="20"/>
                <w:highlight w:val="none"/>
              </w:rPr>
              <w:t>）凡属绿化管养范围内的垃圾（含修剪的绿化垃圾、生活垃圾等），中标人应及时安排清理；树池周边1米范围内的杂草每个月至少清除一次。</w:t>
            </w:r>
          </w:p>
          <w:p w14:paraId="0FDDD9C4">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三</w:t>
            </w:r>
            <w:r>
              <w:rPr>
                <w:rFonts w:hint="eastAsia" w:ascii="宋体" w:hAnsi="宋体" w:eastAsia="宋体" w:cs="宋体"/>
                <w:color w:val="auto"/>
                <w:sz w:val="20"/>
                <w:szCs w:val="20"/>
                <w:highlight w:val="none"/>
              </w:rPr>
              <w:t>）每季度</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3个月</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末（25日-31日），采购人与中标人双方组织相关部门人员进行季度考核验收（详见附件）。如发现存在需整改的，中标人需整改复查合格后才能申请季度管养费。</w:t>
            </w:r>
          </w:p>
          <w:p w14:paraId="609A6302">
            <w:pPr>
              <w:pageBreakBefore w:val="0"/>
              <w:widowControl/>
              <w:kinsoku/>
              <w:wordWrap/>
              <w:overflowPunct/>
              <w:topLinePunct w:val="0"/>
              <w:bidi w:val="0"/>
              <w:snapToGrid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四</w:t>
            </w:r>
            <w:r>
              <w:rPr>
                <w:rFonts w:hint="eastAsia" w:ascii="宋体" w:hAnsi="宋体" w:eastAsia="宋体" w:cs="宋体"/>
                <w:color w:val="auto"/>
                <w:sz w:val="20"/>
                <w:szCs w:val="20"/>
                <w:highlight w:val="none"/>
              </w:rPr>
              <w:t>）中标人必须接受并及时配合办理因市政建设新增绿地（含绿地内设施）的接管手续。同样，中标人必须接受因市政建设受委托范围内管养设施量的减少并及时配合办理设施量的核销手续。</w:t>
            </w:r>
          </w:p>
          <w:p w14:paraId="456849ED">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五</w:t>
            </w:r>
            <w:r>
              <w:rPr>
                <w:rFonts w:hint="eastAsia" w:ascii="宋体" w:hAnsi="宋体" w:eastAsia="宋体" w:cs="宋体"/>
                <w:color w:val="auto"/>
                <w:sz w:val="20"/>
                <w:szCs w:val="20"/>
                <w:highlight w:val="none"/>
              </w:rPr>
              <w:t>）在年度合同期内，如有增减管养设施量，在接管当月进行核定，接管当月不增加（减少）作业费。增减的作业费用于次月开始计算，该</w:t>
            </w:r>
            <w:r>
              <w:rPr>
                <w:rFonts w:hint="eastAsia" w:ascii="宋体" w:hAnsi="宋体" w:eastAsia="宋体" w:cs="宋体"/>
                <w:color w:val="auto"/>
                <w:sz w:val="20"/>
                <w:szCs w:val="20"/>
                <w:highlight w:val="none"/>
                <w:lang w:val="en-US" w:eastAsia="zh-CN"/>
              </w:rPr>
              <w:t>部分</w:t>
            </w:r>
            <w:r>
              <w:rPr>
                <w:rFonts w:hint="eastAsia" w:ascii="宋体" w:hAnsi="宋体" w:eastAsia="宋体" w:cs="宋体"/>
                <w:color w:val="auto"/>
                <w:sz w:val="20"/>
                <w:szCs w:val="20"/>
                <w:highlight w:val="none"/>
              </w:rPr>
              <w:t>费用在年度合同期末一次性结算，结算单价按中标单价执行。</w:t>
            </w:r>
          </w:p>
          <w:p w14:paraId="6822254D">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六</w:t>
            </w:r>
            <w:r>
              <w:rPr>
                <w:rFonts w:hint="eastAsia" w:ascii="宋体" w:hAnsi="宋体" w:eastAsia="宋体" w:cs="宋体"/>
                <w:color w:val="auto"/>
                <w:sz w:val="20"/>
                <w:szCs w:val="20"/>
                <w:highlight w:val="none"/>
              </w:rPr>
              <w:t>）管养期间接管的新增绿化必须保证不长杂草，否则按照每次1000元进行处罚。</w:t>
            </w:r>
          </w:p>
          <w:p w14:paraId="412857C0">
            <w:pPr>
              <w:pageBreakBefore w:val="0"/>
              <w:kinsoku/>
              <w:wordWrap/>
              <w:overflowPunct/>
              <w:topLinePunct w:val="0"/>
              <w:bidi w:val="0"/>
              <w:spacing w:line="360" w:lineRule="auto"/>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七</w:t>
            </w:r>
            <w:r>
              <w:rPr>
                <w:rFonts w:hint="eastAsia" w:ascii="宋体" w:hAnsi="宋体" w:eastAsia="宋体" w:cs="宋体"/>
                <w:color w:val="auto"/>
                <w:sz w:val="20"/>
                <w:szCs w:val="20"/>
                <w:highlight w:val="none"/>
              </w:rPr>
              <w:t>）浮虚山至交警门前路段和高速路口100米新增绿化要保证每月拔除杂草次数不少于一次。</w:t>
            </w:r>
          </w:p>
          <w:p w14:paraId="5678A6B6">
            <w:pPr>
              <w:pageBreakBefore w:val="0"/>
              <w:kinsoku/>
              <w:wordWrap/>
              <w:overflowPunct/>
              <w:topLinePunct w:val="0"/>
              <w:bidi w:val="0"/>
              <w:spacing w:line="360" w:lineRule="auto"/>
              <w:ind w:firstLine="400" w:firstLineChars="200"/>
              <w:textAlignment w:val="auto"/>
              <w:rPr>
                <w:rStyle w:val="14"/>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八</w:t>
            </w:r>
            <w:r>
              <w:rPr>
                <w:rFonts w:hint="eastAsia" w:ascii="宋体" w:hAnsi="宋体" w:eastAsia="宋体" w:cs="宋体"/>
                <w:color w:val="auto"/>
                <w:sz w:val="20"/>
                <w:szCs w:val="20"/>
                <w:highlight w:val="none"/>
              </w:rPr>
              <w:t>）中标人需要安排负责人24小时待命应对突发事件，并且需要做好施工前后对比资料和采购材料票据的整理。每个季度按照采购人要求，提前做好工作计划并上报采购人审批。</w:t>
            </w:r>
          </w:p>
          <w:p w14:paraId="2A51CC53">
            <w:pPr>
              <w:pageBreakBefore w:val="0"/>
              <w:kinsoku/>
              <w:wordWrap/>
              <w:overflowPunct/>
              <w:topLinePunct w:val="0"/>
              <w:bidi w:val="0"/>
              <w:spacing w:line="360" w:lineRule="auto"/>
              <w:ind w:firstLine="400" w:firstLineChars="200"/>
              <w:textAlignment w:val="auto"/>
              <w:rPr>
                <w:rStyle w:val="14"/>
                <w:rFonts w:hint="eastAsia" w:ascii="宋体" w:hAnsi="宋体" w:eastAsia="宋体" w:cs="宋体"/>
                <w:color w:val="auto"/>
                <w:kern w:val="0"/>
                <w:sz w:val="20"/>
                <w:szCs w:val="20"/>
                <w:highlight w:val="none"/>
                <w:lang w:eastAsia="zh-CN"/>
              </w:rPr>
            </w:pPr>
            <w:r>
              <w:rPr>
                <w:rStyle w:val="14"/>
                <w:rFonts w:hint="eastAsia" w:ascii="宋体" w:hAnsi="宋体" w:eastAsia="宋体" w:cs="宋体"/>
                <w:color w:val="auto"/>
                <w:kern w:val="0"/>
                <w:sz w:val="20"/>
                <w:szCs w:val="20"/>
                <w:highlight w:val="none"/>
                <w:lang w:eastAsia="zh-CN"/>
              </w:rPr>
              <w:t>（</w:t>
            </w:r>
            <w:r>
              <w:rPr>
                <w:rStyle w:val="14"/>
                <w:rFonts w:hint="eastAsia" w:ascii="宋体" w:hAnsi="宋体" w:eastAsia="宋体" w:cs="宋体"/>
                <w:color w:val="auto"/>
                <w:kern w:val="0"/>
                <w:sz w:val="20"/>
                <w:szCs w:val="20"/>
                <w:highlight w:val="none"/>
                <w:lang w:val="en-US" w:eastAsia="zh-CN"/>
              </w:rPr>
              <w:t>九</w:t>
            </w:r>
            <w:r>
              <w:rPr>
                <w:rStyle w:val="14"/>
                <w:rFonts w:hint="eastAsia" w:ascii="宋体" w:hAnsi="宋体" w:eastAsia="宋体" w:cs="宋体"/>
                <w:color w:val="auto"/>
                <w:kern w:val="0"/>
                <w:sz w:val="20"/>
                <w:szCs w:val="20"/>
                <w:highlight w:val="none"/>
                <w:lang w:eastAsia="zh-CN"/>
              </w:rPr>
              <w:t>）涉及村庄范围的绿化临时管养任务，中标人应无条件配合完成采购人交办的任务，且不收取任何费用。</w:t>
            </w:r>
          </w:p>
          <w:p w14:paraId="3C6B6104">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color w:val="auto"/>
                <w:kern w:val="2"/>
                <w:sz w:val="20"/>
                <w:szCs w:val="20"/>
                <w:highlight w:val="none"/>
                <w:lang w:eastAsia="zh-CN"/>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十</w:t>
            </w:r>
            <w:r>
              <w:rPr>
                <w:rFonts w:hint="eastAsia" w:ascii="宋体" w:hAnsi="宋体" w:eastAsia="宋体" w:cs="宋体"/>
                <w:color w:val="auto"/>
                <w:sz w:val="20"/>
                <w:szCs w:val="20"/>
                <w:highlight w:val="none"/>
                <w:lang w:eastAsia="zh-CN"/>
              </w:rPr>
              <w:t>）如遇重大展会活动和重要节假日及各类创建、迎检等特殊情况，中标人应加强绿化环境管理,中标人应无条件配合采购人交办的其他临时任务，采购人将不再支付任何费用。</w:t>
            </w:r>
          </w:p>
        </w:tc>
      </w:tr>
      <w:tr w14:paraId="6C7B3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19664BA">
            <w:pPr>
              <w:pStyle w:val="19"/>
              <w:rPr>
                <w:rFonts w:hint="eastAsia" w:ascii="宋体" w:hAnsi="宋体" w:eastAsia="宋体" w:cs="宋体"/>
                <w:color w:val="auto"/>
                <w:kern w:val="44"/>
                <w:sz w:val="20"/>
                <w:szCs w:val="20"/>
                <w:highlight w:val="none"/>
              </w:rPr>
            </w:pPr>
          </w:p>
        </w:tc>
        <w:tc>
          <w:tcPr>
            <w:tcW w:w="415" w:type="dxa"/>
          </w:tcPr>
          <w:p w14:paraId="73732428">
            <w:pPr>
              <w:pStyle w:val="1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w:t>
            </w:r>
          </w:p>
        </w:tc>
        <w:tc>
          <w:tcPr>
            <w:tcW w:w="5814" w:type="dxa"/>
          </w:tcPr>
          <w:p w14:paraId="501D5B15">
            <w:pPr>
              <w:pageBreakBefore w:val="0"/>
              <w:kinsoku/>
              <w:wordWrap/>
              <w:overflowPunct/>
              <w:topLinePunct w:val="0"/>
              <w:bidi w:val="0"/>
              <w:spacing w:line="360" w:lineRule="auto"/>
              <w:textAlignment w:val="auto"/>
              <w:rPr>
                <w:rStyle w:val="14"/>
                <w:rFonts w:hint="eastAsia" w:ascii="宋体" w:hAnsi="宋体" w:eastAsia="宋体" w:cs="宋体"/>
                <w:b/>
                <w:bCs/>
                <w:color w:val="auto"/>
                <w:kern w:val="0"/>
                <w:sz w:val="20"/>
                <w:szCs w:val="20"/>
                <w:highlight w:val="none"/>
                <w:lang w:eastAsia="zh-CN"/>
              </w:rPr>
            </w:pPr>
            <w:r>
              <w:rPr>
                <w:rStyle w:val="14"/>
                <w:rFonts w:hint="eastAsia" w:ascii="宋体" w:hAnsi="宋体" w:eastAsia="宋体" w:cs="宋体"/>
                <w:b/>
                <w:bCs/>
                <w:color w:val="auto"/>
                <w:kern w:val="0"/>
                <w:sz w:val="20"/>
                <w:szCs w:val="20"/>
                <w:highlight w:val="none"/>
                <w:lang w:val="en-US" w:eastAsia="zh-CN"/>
              </w:rPr>
              <w:t>六、</w:t>
            </w:r>
            <w:r>
              <w:rPr>
                <w:rStyle w:val="14"/>
                <w:rFonts w:hint="eastAsia" w:ascii="宋体" w:hAnsi="宋体" w:eastAsia="宋体" w:cs="宋体"/>
                <w:b/>
                <w:bCs/>
                <w:color w:val="auto"/>
                <w:kern w:val="0"/>
                <w:sz w:val="20"/>
                <w:szCs w:val="20"/>
                <w:highlight w:val="none"/>
                <w:lang w:eastAsia="zh-CN"/>
              </w:rPr>
              <w:t>“三防”应急工作要求</w:t>
            </w:r>
          </w:p>
          <w:p w14:paraId="081B1518">
            <w:pPr>
              <w:pageBreakBefore w:val="0"/>
              <w:kinsoku/>
              <w:wordWrap/>
              <w:overflowPunct/>
              <w:topLinePunct w:val="0"/>
              <w:bidi w:val="0"/>
              <w:spacing w:line="360" w:lineRule="auto"/>
              <w:ind w:firstLine="400" w:firstLineChars="200"/>
              <w:textAlignment w:val="auto"/>
              <w:rPr>
                <w:rStyle w:val="14"/>
                <w:rFonts w:hint="eastAsia" w:ascii="宋体" w:hAnsi="宋体" w:eastAsia="宋体" w:cs="宋体"/>
                <w:color w:val="auto"/>
                <w:kern w:val="0"/>
                <w:sz w:val="20"/>
                <w:szCs w:val="20"/>
                <w:highlight w:val="none"/>
                <w:lang w:eastAsia="zh-CN"/>
              </w:rPr>
            </w:pPr>
            <w:r>
              <w:rPr>
                <w:rStyle w:val="14"/>
                <w:rFonts w:hint="eastAsia" w:ascii="宋体" w:hAnsi="宋体" w:eastAsia="宋体" w:cs="宋体"/>
                <w:color w:val="auto"/>
                <w:kern w:val="0"/>
                <w:sz w:val="20"/>
                <w:szCs w:val="20"/>
                <w:highlight w:val="none"/>
                <w:lang w:val="en-US" w:eastAsia="zh-CN"/>
              </w:rPr>
              <w:t>1.</w:t>
            </w:r>
            <w:r>
              <w:rPr>
                <w:rStyle w:val="14"/>
                <w:rFonts w:hint="eastAsia" w:ascii="宋体" w:hAnsi="宋体" w:eastAsia="宋体" w:cs="宋体"/>
                <w:color w:val="auto"/>
                <w:kern w:val="0"/>
                <w:sz w:val="20"/>
                <w:szCs w:val="20"/>
                <w:highlight w:val="none"/>
                <w:lang w:eastAsia="zh-CN"/>
              </w:rPr>
              <w:t>中标人应根据采购人要求制定“三防”应急抢险救灾方案，其中须着重从台风应急抢险救灾考虑，成立一支应对台风抢险救灾的园林绿化抢险救灾队伍。根据灾情需要，在确保现有常规绿化管养作业人员、机械设备及相关物资不减少的情况下，无条件提前落实人员物资的储备工作（含临时外请具有抢险能力的人员、租用吊车、清场车、碎枝机械设备、油锯、本标段园林垃圾应急临时堆放场的储备等），以做到满足抢险救灾作业的需要。</w:t>
            </w:r>
          </w:p>
          <w:p w14:paraId="5E8779CC">
            <w:pPr>
              <w:pStyle w:val="19"/>
              <w:keepNext w:val="0"/>
              <w:keepLines w:val="0"/>
              <w:pageBreakBefore w:val="0"/>
              <w:widowControl/>
              <w:kinsoku/>
              <w:wordWrap/>
              <w:overflowPunct/>
              <w:topLinePunct w:val="0"/>
              <w:autoSpaceDE/>
              <w:autoSpaceDN/>
              <w:bidi w:val="0"/>
              <w:adjustRightInd/>
              <w:snapToGrid/>
              <w:spacing w:line="360" w:lineRule="auto"/>
              <w:ind w:firstLine="400" w:firstLineChars="200"/>
              <w:jc w:val="both"/>
              <w:textAlignment w:val="auto"/>
              <w:rPr>
                <w:rStyle w:val="14"/>
                <w:rFonts w:hint="eastAsia" w:ascii="宋体" w:hAnsi="宋体" w:eastAsia="宋体" w:cs="宋体"/>
                <w:color w:val="auto"/>
                <w:kern w:val="0"/>
                <w:sz w:val="20"/>
                <w:szCs w:val="20"/>
                <w:highlight w:val="none"/>
                <w:lang w:eastAsia="zh-CN"/>
              </w:rPr>
            </w:pPr>
            <w:r>
              <w:rPr>
                <w:rStyle w:val="14"/>
                <w:rFonts w:hint="eastAsia" w:ascii="宋体" w:hAnsi="宋体" w:eastAsia="宋体" w:cs="宋体"/>
                <w:color w:val="auto"/>
                <w:kern w:val="0"/>
                <w:sz w:val="20"/>
                <w:szCs w:val="20"/>
                <w:highlight w:val="none"/>
                <w:lang w:val="en-US" w:eastAsia="zh-CN" w:bidi="ar-SA"/>
              </w:rPr>
              <w:t>2.按照防灾减灾工作原则，须做好“三防”工作。因中标人管养维护不善，造成受委托管养内容损坏的，要及时清理，并在采购人规定时间内无条件修复。造成采购人或第三方损失的，应由中标人赔偿一切损失，包括但不限于赔偿金、律师费等（除国家规定的不可抗力免责以外）。</w:t>
            </w:r>
          </w:p>
        </w:tc>
      </w:tr>
      <w:tr w14:paraId="198EB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248470A">
            <w:pPr>
              <w:pStyle w:val="19"/>
              <w:rPr>
                <w:rFonts w:hint="eastAsia" w:ascii="宋体" w:hAnsi="宋体" w:eastAsia="宋体" w:cs="宋体"/>
                <w:color w:val="auto"/>
                <w:kern w:val="44"/>
                <w:sz w:val="20"/>
                <w:szCs w:val="20"/>
                <w:highlight w:val="none"/>
              </w:rPr>
            </w:pPr>
          </w:p>
        </w:tc>
        <w:tc>
          <w:tcPr>
            <w:tcW w:w="415" w:type="dxa"/>
          </w:tcPr>
          <w:p w14:paraId="0ABFFDA6">
            <w:pPr>
              <w:pStyle w:val="1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7</w:t>
            </w:r>
          </w:p>
        </w:tc>
        <w:tc>
          <w:tcPr>
            <w:tcW w:w="5814" w:type="dxa"/>
          </w:tcPr>
          <w:p w14:paraId="218DD9F8">
            <w:pPr>
              <w:pageBreakBefore w:val="0"/>
              <w:numPr>
                <w:ilvl w:val="0"/>
                <w:numId w:val="0"/>
              </w:numPr>
              <w:kinsoku/>
              <w:wordWrap/>
              <w:overflowPunct/>
              <w:topLinePunct w:val="0"/>
              <w:bidi w:val="0"/>
              <w:spacing w:line="360" w:lineRule="auto"/>
              <w:textAlignment w:val="auto"/>
              <w:rPr>
                <w:rStyle w:val="14"/>
                <w:rFonts w:hint="eastAsia" w:ascii="宋体" w:hAnsi="宋体" w:eastAsia="宋体" w:cs="宋体"/>
                <w:b/>
                <w:bCs/>
                <w:color w:val="auto"/>
                <w:kern w:val="0"/>
                <w:sz w:val="20"/>
                <w:szCs w:val="20"/>
                <w:highlight w:val="none"/>
                <w:lang w:eastAsia="zh-CN"/>
              </w:rPr>
            </w:pPr>
            <w:r>
              <w:rPr>
                <w:rFonts w:hint="eastAsia" w:ascii="宋体" w:hAnsi="宋体" w:eastAsia="宋体" w:cs="宋体"/>
                <w:b/>
                <w:bCs/>
                <w:color w:val="auto"/>
                <w:kern w:val="0"/>
                <w:sz w:val="20"/>
                <w:szCs w:val="20"/>
                <w:highlight w:val="none"/>
                <w:lang w:val="en-US" w:eastAsia="zh-CN" w:bidi="ar-SA"/>
              </w:rPr>
              <w:t>七、</w:t>
            </w:r>
            <w:r>
              <w:rPr>
                <w:rStyle w:val="14"/>
                <w:rFonts w:hint="eastAsia" w:ascii="宋体" w:hAnsi="宋体" w:eastAsia="宋体" w:cs="宋体"/>
                <w:b/>
                <w:bCs/>
                <w:color w:val="auto"/>
                <w:kern w:val="0"/>
                <w:sz w:val="20"/>
                <w:szCs w:val="20"/>
                <w:highlight w:val="none"/>
                <w:lang w:eastAsia="zh-CN"/>
              </w:rPr>
              <w:t>服务响应要求</w:t>
            </w:r>
          </w:p>
          <w:p w14:paraId="5EF65517">
            <w:pPr>
              <w:pStyle w:val="19"/>
              <w:keepNext w:val="0"/>
              <w:keepLines w:val="0"/>
              <w:pageBreakBefore w:val="0"/>
              <w:widowControl/>
              <w:kinsoku/>
              <w:wordWrap/>
              <w:overflowPunct/>
              <w:topLinePunct w:val="0"/>
              <w:autoSpaceDE/>
              <w:autoSpaceDN/>
              <w:bidi w:val="0"/>
              <w:adjustRightInd/>
              <w:snapToGrid/>
              <w:spacing w:line="360" w:lineRule="auto"/>
              <w:ind w:firstLine="400" w:firstLineChars="200"/>
              <w:jc w:val="both"/>
              <w:textAlignment w:val="auto"/>
              <w:rPr>
                <w:rStyle w:val="14"/>
                <w:rFonts w:hint="eastAsia" w:ascii="宋体" w:hAnsi="宋体" w:eastAsia="宋体" w:cs="宋体"/>
                <w:color w:val="auto"/>
                <w:kern w:val="0"/>
                <w:sz w:val="20"/>
                <w:szCs w:val="20"/>
                <w:highlight w:val="none"/>
                <w:lang w:eastAsia="zh-CN"/>
              </w:rPr>
            </w:pPr>
            <w:r>
              <w:rPr>
                <w:rStyle w:val="14"/>
                <w:rFonts w:hint="eastAsia" w:ascii="宋体" w:hAnsi="宋体" w:eastAsia="宋体" w:cs="宋体"/>
                <w:color w:val="auto"/>
                <w:kern w:val="0"/>
                <w:sz w:val="20"/>
                <w:szCs w:val="20"/>
                <w:highlight w:val="none"/>
                <w:lang w:eastAsia="zh-CN"/>
              </w:rPr>
              <w:t>对采购人提出的质量问题及绿化管养维护要求供应商应及时响应，提供7*24小时的电话在线服务，中标人应当在接到管养保修维护通知后及时赶往现场管养；做好抗台、抗旱、抗寒的方案准备，包括每天关注天气预报，台风来临前对容易倒伏的树木可采取立支架、攀扎防风绳、加固土球、适度修剪减小受风面积等措施；台风过后绿化人员应及时清理和恢复现场受灾情况，做好相关记录并及时反馈给采购人。加强养护管理，尽力挽救受损植物，补充或重建被毁绿化景观，努力将损失减小到最低程度。</w:t>
            </w:r>
          </w:p>
        </w:tc>
      </w:tr>
      <w:tr w14:paraId="695E8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570F3D3">
            <w:pPr>
              <w:pStyle w:val="19"/>
              <w:rPr>
                <w:rFonts w:hint="eastAsia" w:ascii="宋体" w:hAnsi="宋体" w:eastAsia="宋体" w:cs="宋体"/>
                <w:color w:val="auto"/>
                <w:kern w:val="44"/>
                <w:sz w:val="20"/>
                <w:szCs w:val="20"/>
                <w:highlight w:val="none"/>
              </w:rPr>
            </w:pPr>
          </w:p>
        </w:tc>
        <w:tc>
          <w:tcPr>
            <w:tcW w:w="415" w:type="dxa"/>
          </w:tcPr>
          <w:p w14:paraId="2D1FBE41">
            <w:pPr>
              <w:pStyle w:val="1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8</w:t>
            </w:r>
          </w:p>
        </w:tc>
        <w:tc>
          <w:tcPr>
            <w:tcW w:w="5814" w:type="dxa"/>
          </w:tcPr>
          <w:p w14:paraId="15029094">
            <w:pPr>
              <w:pStyle w:val="19"/>
              <w:pageBreakBefore w:val="0"/>
              <w:kinsoku/>
              <w:wordWrap/>
              <w:overflowPunct/>
              <w:topLinePunct w:val="0"/>
              <w:bidi w:val="0"/>
              <w:snapToGrid w:val="0"/>
              <w:spacing w:line="360" w:lineRule="auto"/>
              <w:textAlignment w:val="auto"/>
              <w:rPr>
                <w:rFonts w:hint="eastAsia" w:ascii="宋体" w:hAnsi="宋体" w:eastAsia="宋体" w:cs="宋体"/>
                <w:b/>
                <w:color w:val="auto"/>
                <w:kern w:val="2"/>
                <w:sz w:val="20"/>
                <w:szCs w:val="20"/>
                <w:highlight w:val="none"/>
                <w:lang w:eastAsia="zh-CN"/>
              </w:rPr>
            </w:pPr>
            <w:r>
              <w:rPr>
                <w:rFonts w:hint="eastAsia" w:ascii="宋体" w:hAnsi="宋体" w:eastAsia="宋体" w:cs="宋体"/>
                <w:b/>
                <w:bCs/>
                <w:color w:val="auto"/>
                <w:kern w:val="44"/>
                <w:sz w:val="20"/>
                <w:szCs w:val="20"/>
                <w:highlight w:val="none"/>
                <w:lang w:val="en-US" w:eastAsia="zh-CN"/>
              </w:rPr>
              <w:t>八</w:t>
            </w:r>
            <w:r>
              <w:rPr>
                <w:rFonts w:hint="eastAsia" w:ascii="宋体" w:hAnsi="宋体" w:eastAsia="宋体" w:cs="宋体"/>
                <w:b/>
                <w:bCs/>
                <w:color w:val="auto"/>
                <w:kern w:val="44"/>
                <w:sz w:val="20"/>
                <w:szCs w:val="20"/>
                <w:highlight w:val="none"/>
              </w:rPr>
              <w:t>、</w:t>
            </w:r>
            <w:r>
              <w:rPr>
                <w:rFonts w:hint="eastAsia" w:ascii="宋体" w:hAnsi="宋体" w:eastAsia="宋体" w:cs="宋体"/>
                <w:b/>
                <w:color w:val="auto"/>
                <w:kern w:val="2"/>
                <w:sz w:val="20"/>
                <w:szCs w:val="20"/>
                <w:highlight w:val="none"/>
                <w:lang w:eastAsia="zh-CN"/>
              </w:rPr>
              <w:t>采购人配合条件</w:t>
            </w:r>
          </w:p>
          <w:p w14:paraId="470A6134">
            <w:pPr>
              <w:pStyle w:val="19"/>
              <w:keepNext w:val="0"/>
              <w:keepLines w:val="0"/>
              <w:pageBreakBefore w:val="0"/>
              <w:widowControl/>
              <w:kinsoku/>
              <w:wordWrap/>
              <w:overflowPunct/>
              <w:topLinePunct w:val="0"/>
              <w:autoSpaceDE/>
              <w:autoSpaceDN/>
              <w:bidi w:val="0"/>
              <w:adjustRightInd/>
              <w:snapToGrid/>
              <w:spacing w:line="360" w:lineRule="auto"/>
              <w:ind w:firstLine="400" w:firstLineChars="200"/>
              <w:jc w:val="both"/>
              <w:textAlignment w:val="auto"/>
              <w:rPr>
                <w:rStyle w:val="14"/>
                <w:rFonts w:hint="eastAsia" w:ascii="宋体" w:hAnsi="宋体" w:eastAsia="宋体" w:cs="宋体"/>
                <w:color w:val="auto"/>
                <w:kern w:val="0"/>
                <w:sz w:val="20"/>
                <w:szCs w:val="20"/>
                <w:highlight w:val="none"/>
                <w:lang w:eastAsia="zh-CN"/>
              </w:rPr>
            </w:pPr>
            <w:r>
              <w:rPr>
                <w:rFonts w:hint="eastAsia" w:ascii="宋体" w:hAnsi="宋体" w:eastAsia="宋体" w:cs="宋体"/>
                <w:b w:val="0"/>
                <w:bCs/>
                <w:color w:val="auto"/>
                <w:kern w:val="2"/>
                <w:sz w:val="20"/>
                <w:szCs w:val="20"/>
                <w:highlight w:val="none"/>
                <w:lang w:eastAsia="zh-CN"/>
              </w:rPr>
              <w:t>投标人在投标文件中要列明在项目实施过程中要求采购人提供的配合条件。</w:t>
            </w:r>
          </w:p>
        </w:tc>
      </w:tr>
      <w:tr w14:paraId="27404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9" w:hRule="atLeast"/>
        </w:trPr>
        <w:tc>
          <w:tcPr>
            <w:tcW w:w="2076" w:type="dxa"/>
          </w:tcPr>
          <w:p w14:paraId="50326DC9">
            <w:pPr>
              <w:pStyle w:val="19"/>
              <w:rPr>
                <w:rFonts w:hint="eastAsia" w:ascii="宋体" w:hAnsi="宋体" w:eastAsia="宋体" w:cs="宋体"/>
                <w:color w:val="auto"/>
                <w:kern w:val="44"/>
                <w:sz w:val="20"/>
                <w:szCs w:val="20"/>
                <w:highlight w:val="none"/>
              </w:rPr>
            </w:pPr>
          </w:p>
        </w:tc>
        <w:tc>
          <w:tcPr>
            <w:tcW w:w="415" w:type="dxa"/>
          </w:tcPr>
          <w:p w14:paraId="66ED34D8">
            <w:pPr>
              <w:pStyle w:val="1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9</w:t>
            </w:r>
          </w:p>
        </w:tc>
        <w:tc>
          <w:tcPr>
            <w:tcW w:w="5814" w:type="dxa"/>
          </w:tcPr>
          <w:p w14:paraId="677FE744">
            <w:pPr>
              <w:pStyle w:val="19"/>
              <w:pageBreakBefore w:val="0"/>
              <w:kinsoku/>
              <w:wordWrap/>
              <w:overflowPunct/>
              <w:topLinePunct w:val="0"/>
              <w:bidi w:val="0"/>
              <w:snapToGrid w:val="0"/>
              <w:spacing w:line="360" w:lineRule="auto"/>
              <w:textAlignment w:val="auto"/>
              <w:rPr>
                <w:rFonts w:hint="eastAsia"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lang w:val="en-US" w:eastAsia="zh-CN"/>
              </w:rPr>
              <w:t>九、</w:t>
            </w:r>
            <w:r>
              <w:rPr>
                <w:rFonts w:hint="eastAsia" w:ascii="宋体" w:hAnsi="宋体" w:eastAsia="宋体" w:cs="宋体"/>
                <w:b/>
                <w:color w:val="auto"/>
                <w:kern w:val="2"/>
                <w:sz w:val="21"/>
                <w:szCs w:val="21"/>
                <w:highlight w:val="none"/>
                <w:lang w:eastAsia="zh-CN"/>
              </w:rPr>
              <w:t>相关附件</w:t>
            </w:r>
          </w:p>
          <w:p w14:paraId="4011D59E">
            <w:pPr>
              <w:pStyle w:val="19"/>
              <w:pageBreakBefore w:val="0"/>
              <w:kinsoku/>
              <w:wordWrap/>
              <w:overflowPunct/>
              <w:topLinePunct w:val="0"/>
              <w:bidi w:val="0"/>
              <w:snapToGrid w:val="0"/>
              <w:spacing w:line="360" w:lineRule="auto"/>
              <w:textAlignment w:val="auto"/>
              <w:rPr>
                <w:rFonts w:hint="eastAsia"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lang w:eastAsia="zh-CN"/>
              </w:rPr>
              <w:t>（一）</w:t>
            </w:r>
            <w:r>
              <w:rPr>
                <w:rFonts w:hint="eastAsia" w:ascii="宋体" w:hAnsi="宋体" w:eastAsia="宋体" w:cs="宋体"/>
                <w:b/>
                <w:color w:val="auto"/>
                <w:sz w:val="21"/>
                <w:szCs w:val="21"/>
                <w:highlight w:val="none"/>
              </w:rPr>
              <w:t>工程量清单</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kern w:val="2"/>
                <w:sz w:val="21"/>
                <w:szCs w:val="21"/>
                <w:highlight w:val="none"/>
                <w:lang w:eastAsia="zh-CN"/>
              </w:rPr>
              <w:t>工程量清单的工程名称与本招标文件项目名称出现不一致的，以招标文件项目名称为准，投标人可对工程量清单的工程名称按本招标文件项目名称作出修改。</w:t>
            </w:r>
            <w:r>
              <w:rPr>
                <w:rFonts w:hint="eastAsia" w:ascii="宋体" w:hAnsi="宋体" w:eastAsia="宋体" w:cs="宋体"/>
                <w:b w:val="0"/>
                <w:bCs/>
                <w:color w:val="auto"/>
                <w:sz w:val="21"/>
                <w:szCs w:val="21"/>
                <w:highlight w:val="none"/>
                <w:lang w:eastAsia="zh-CN"/>
              </w:rPr>
              <w:t>）</w:t>
            </w:r>
          </w:p>
          <w:p w14:paraId="343C7D16">
            <w:pPr>
              <w:pStyle w:val="19"/>
              <w:pageBreakBefore w:val="0"/>
              <w:kinsoku/>
              <w:wordWrap/>
              <w:overflowPunct/>
              <w:topLinePunct w:val="0"/>
              <w:bidi w:val="0"/>
              <w:snapToGrid w:val="0"/>
              <w:spacing w:line="360" w:lineRule="auto"/>
              <w:textAlignment w:val="auto"/>
              <w:rPr>
                <w:rFonts w:hint="eastAsia"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lang w:eastAsia="zh-CN"/>
              </w:rPr>
              <w:t>（二）考核评分表及评分</w:t>
            </w:r>
            <w:r>
              <w:rPr>
                <w:rFonts w:hint="eastAsia" w:ascii="宋体" w:hAnsi="宋体" w:eastAsia="宋体" w:cs="宋体"/>
                <w:b/>
                <w:color w:val="auto"/>
                <w:kern w:val="2"/>
                <w:sz w:val="21"/>
                <w:szCs w:val="21"/>
                <w:highlight w:val="none"/>
                <w:lang w:val="en-US" w:eastAsia="zh-CN"/>
              </w:rPr>
              <w:t>季度</w:t>
            </w:r>
            <w:r>
              <w:rPr>
                <w:rFonts w:hint="eastAsia" w:ascii="宋体" w:hAnsi="宋体" w:eastAsia="宋体" w:cs="宋体"/>
                <w:b/>
                <w:color w:val="auto"/>
                <w:kern w:val="2"/>
                <w:sz w:val="21"/>
                <w:szCs w:val="21"/>
                <w:highlight w:val="none"/>
                <w:lang w:eastAsia="zh-CN"/>
              </w:rPr>
              <w:t>汇总表</w:t>
            </w:r>
          </w:p>
          <w:p w14:paraId="36C301F0">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2025-2028阜沙镇市政绿化管养项目</w:t>
            </w:r>
            <w:r>
              <w:rPr>
                <w:rFonts w:hint="eastAsia" w:ascii="宋体" w:hAnsi="宋体" w:eastAsia="宋体" w:cs="宋体"/>
                <w:color w:val="auto"/>
                <w:sz w:val="21"/>
                <w:szCs w:val="21"/>
                <w:highlight w:val="none"/>
              </w:rPr>
              <w:t>考核评分表</w:t>
            </w:r>
          </w:p>
          <w:tbl>
            <w:tblPr>
              <w:tblStyle w:val="10"/>
              <w:tblW w:w="6760" w:type="dxa"/>
              <w:tblInd w:w="93" w:type="dxa"/>
              <w:tblLayout w:type="autofit"/>
              <w:tblCellMar>
                <w:top w:w="0" w:type="dxa"/>
                <w:left w:w="108" w:type="dxa"/>
                <w:bottom w:w="0" w:type="dxa"/>
                <w:right w:w="108" w:type="dxa"/>
              </w:tblCellMar>
            </w:tblPr>
            <w:tblGrid>
              <w:gridCol w:w="609"/>
              <w:gridCol w:w="1439"/>
              <w:gridCol w:w="438"/>
              <w:gridCol w:w="184"/>
              <w:gridCol w:w="686"/>
              <w:gridCol w:w="1696"/>
              <w:gridCol w:w="451"/>
              <w:gridCol w:w="1257"/>
            </w:tblGrid>
            <w:tr w14:paraId="3E78480F">
              <w:tblPrEx>
                <w:tblCellMar>
                  <w:top w:w="0" w:type="dxa"/>
                  <w:left w:w="108" w:type="dxa"/>
                  <w:bottom w:w="0" w:type="dxa"/>
                  <w:right w:w="108" w:type="dxa"/>
                </w:tblCellMar>
              </w:tblPrEx>
              <w:trPr>
                <w:trHeight w:val="529" w:hRule="atLeast"/>
                <w:tblHeader/>
              </w:trPr>
              <w:tc>
                <w:tcPr>
                  <w:tcW w:w="676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2C4B5D0">
                  <w:pPr>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2025-2028阜沙镇市政绿化管养项目</w:t>
                  </w:r>
                  <w:r>
                    <w:rPr>
                      <w:rFonts w:hint="eastAsia" w:ascii="宋体" w:hAnsi="宋体" w:eastAsia="宋体" w:cs="宋体"/>
                      <w:b/>
                      <w:bCs/>
                      <w:color w:val="auto"/>
                      <w:sz w:val="21"/>
                      <w:szCs w:val="21"/>
                      <w:highlight w:val="none"/>
                    </w:rPr>
                    <w:t>考核评分表</w:t>
                  </w:r>
                </w:p>
              </w:tc>
            </w:tr>
            <w:tr w14:paraId="2E1A2A02">
              <w:tblPrEx>
                <w:tblCellMar>
                  <w:top w:w="0" w:type="dxa"/>
                  <w:left w:w="108" w:type="dxa"/>
                  <w:bottom w:w="0" w:type="dxa"/>
                  <w:right w:w="108" w:type="dxa"/>
                </w:tblCellMar>
              </w:tblPrEx>
              <w:trPr>
                <w:trHeight w:val="257" w:hRule="atLeast"/>
                <w:tblHeader/>
              </w:trPr>
              <w:tc>
                <w:tcPr>
                  <w:tcW w:w="2670" w:type="dxa"/>
                  <w:gridSpan w:val="4"/>
                  <w:tcBorders>
                    <w:top w:val="nil"/>
                    <w:left w:val="single" w:color="auto" w:sz="4" w:space="0"/>
                    <w:bottom w:val="nil"/>
                    <w:right w:val="nil"/>
                  </w:tcBorders>
                  <w:shd w:val="clear" w:color="auto" w:fill="auto"/>
                  <w:vAlign w:val="center"/>
                </w:tcPr>
                <w:p w14:paraId="445A3FF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季度</w:t>
                  </w:r>
                </w:p>
              </w:tc>
              <w:tc>
                <w:tcPr>
                  <w:tcW w:w="4090" w:type="dxa"/>
                  <w:gridSpan w:val="4"/>
                  <w:tcBorders>
                    <w:top w:val="nil"/>
                    <w:left w:val="nil"/>
                    <w:bottom w:val="nil"/>
                    <w:right w:val="single" w:color="auto" w:sz="4" w:space="0"/>
                  </w:tcBorders>
                  <w:shd w:val="clear" w:color="auto" w:fill="auto"/>
                  <w:vAlign w:val="center"/>
                </w:tcPr>
                <w:p w14:paraId="4F7D8CB4">
                  <w:pPr>
                    <w:pageBreakBefore w:val="0"/>
                    <w:kinsoku/>
                    <w:wordWrap/>
                    <w:overflowPunct/>
                    <w:topLinePunct w:val="0"/>
                    <w:bidi w:val="0"/>
                    <w:spacing w:line="360"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r w14:paraId="2AD21741">
              <w:tblPrEx>
                <w:tblCellMar>
                  <w:top w:w="0" w:type="dxa"/>
                  <w:left w:w="108" w:type="dxa"/>
                  <w:bottom w:w="0" w:type="dxa"/>
                  <w:right w:w="108" w:type="dxa"/>
                </w:tblCellMar>
              </w:tblPrEx>
              <w:trPr>
                <w:trHeight w:val="368" w:hRule="atLeast"/>
                <w:tblHeader/>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57448267">
                  <w:pPr>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考核项目</w:t>
                  </w:r>
                </w:p>
              </w:tc>
              <w:tc>
                <w:tcPr>
                  <w:tcW w:w="1877" w:type="dxa"/>
                  <w:gridSpan w:val="2"/>
                  <w:tcBorders>
                    <w:top w:val="single" w:color="auto" w:sz="4" w:space="0"/>
                    <w:left w:val="nil"/>
                    <w:bottom w:val="single" w:color="auto" w:sz="4" w:space="0"/>
                    <w:right w:val="single" w:color="auto" w:sz="4" w:space="0"/>
                  </w:tcBorders>
                  <w:shd w:val="clear" w:color="auto" w:fill="auto"/>
                  <w:vAlign w:val="center"/>
                </w:tcPr>
                <w:p w14:paraId="499DC47A">
                  <w:pPr>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考核内容</w:t>
                  </w: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0038D47A">
                  <w:pPr>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451" w:type="dxa"/>
                  <w:tcBorders>
                    <w:top w:val="single" w:color="auto" w:sz="4" w:space="0"/>
                    <w:left w:val="nil"/>
                    <w:bottom w:val="single" w:color="auto" w:sz="4" w:space="0"/>
                    <w:right w:val="single" w:color="auto" w:sz="4" w:space="0"/>
                  </w:tcBorders>
                  <w:shd w:val="clear" w:color="auto" w:fill="auto"/>
                  <w:vAlign w:val="center"/>
                </w:tcPr>
                <w:p w14:paraId="02F2EC7B">
                  <w:pPr>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w:t>
                  </w:r>
                </w:p>
              </w:tc>
              <w:tc>
                <w:tcPr>
                  <w:tcW w:w="1257" w:type="dxa"/>
                  <w:tcBorders>
                    <w:top w:val="single" w:color="auto" w:sz="4" w:space="0"/>
                    <w:left w:val="nil"/>
                    <w:bottom w:val="single" w:color="auto" w:sz="4" w:space="0"/>
                    <w:right w:val="single" w:color="auto" w:sz="4" w:space="0"/>
                  </w:tcBorders>
                  <w:shd w:val="clear" w:color="auto" w:fill="auto"/>
                  <w:vAlign w:val="center"/>
                </w:tcPr>
                <w:p w14:paraId="6A2B435B">
                  <w:pPr>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35CE02C">
              <w:tblPrEx>
                <w:tblCellMar>
                  <w:top w:w="0" w:type="dxa"/>
                  <w:left w:w="108" w:type="dxa"/>
                  <w:bottom w:w="0" w:type="dxa"/>
                  <w:right w:w="108" w:type="dxa"/>
                </w:tblCellMar>
              </w:tblPrEx>
              <w:trPr>
                <w:trHeight w:val="606" w:hRule="atLeast"/>
              </w:trPr>
              <w:tc>
                <w:tcPr>
                  <w:tcW w:w="609" w:type="dxa"/>
                  <w:vMerge w:val="restart"/>
                  <w:tcBorders>
                    <w:top w:val="nil"/>
                    <w:left w:val="single" w:color="auto" w:sz="4" w:space="0"/>
                    <w:bottom w:val="single" w:color="000000" w:sz="4" w:space="0"/>
                    <w:right w:val="single" w:color="auto" w:sz="4" w:space="0"/>
                  </w:tcBorders>
                  <w:shd w:val="clear" w:color="auto" w:fill="auto"/>
                  <w:vAlign w:val="center"/>
                </w:tcPr>
                <w:p w14:paraId="09D5CBC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  路  行  道  树</w:t>
                  </w:r>
                </w:p>
              </w:tc>
              <w:tc>
                <w:tcPr>
                  <w:tcW w:w="1877"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4EA7CD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1、生长旺盛、夜色浓绿，枝条健壮（15分)</w:t>
                  </w:r>
                </w:p>
              </w:tc>
              <w:tc>
                <w:tcPr>
                  <w:tcW w:w="2566" w:type="dxa"/>
                  <w:gridSpan w:val="3"/>
                  <w:tcBorders>
                    <w:top w:val="single" w:color="auto" w:sz="4" w:space="0"/>
                    <w:left w:val="nil"/>
                    <w:bottom w:val="single" w:color="auto" w:sz="4" w:space="0"/>
                    <w:right w:val="single" w:color="auto" w:sz="4" w:space="0"/>
                  </w:tcBorders>
                  <w:shd w:val="clear" w:color="auto" w:fill="auto"/>
                </w:tcPr>
                <w:p w14:paraId="62212DBE">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1、生长不良，叶色差，每株扣1分；（沿路灌木和地被生长不良，视情况扣1-8分）</w:t>
                  </w:r>
                </w:p>
              </w:tc>
              <w:tc>
                <w:tcPr>
                  <w:tcW w:w="451" w:type="dxa"/>
                  <w:tcBorders>
                    <w:top w:val="nil"/>
                    <w:left w:val="nil"/>
                    <w:bottom w:val="single" w:color="auto" w:sz="4" w:space="0"/>
                    <w:right w:val="single" w:color="auto" w:sz="4" w:space="0"/>
                  </w:tcBorders>
                  <w:shd w:val="clear" w:color="auto" w:fill="auto"/>
                  <w:vAlign w:val="center"/>
                </w:tcPr>
                <w:p w14:paraId="1FA55A9E">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49D518B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70E6DA3">
              <w:tblPrEx>
                <w:tblCellMar>
                  <w:top w:w="0" w:type="dxa"/>
                  <w:left w:w="108" w:type="dxa"/>
                  <w:bottom w:w="0" w:type="dxa"/>
                  <w:right w:w="108" w:type="dxa"/>
                </w:tblCellMar>
              </w:tblPrEx>
              <w:trPr>
                <w:trHeight w:val="673" w:hRule="atLeast"/>
              </w:trPr>
              <w:tc>
                <w:tcPr>
                  <w:tcW w:w="609" w:type="dxa"/>
                  <w:vMerge w:val="continue"/>
                  <w:tcBorders>
                    <w:top w:val="nil"/>
                    <w:left w:val="single" w:color="auto" w:sz="4" w:space="0"/>
                    <w:bottom w:val="single" w:color="000000" w:sz="4" w:space="0"/>
                    <w:right w:val="single" w:color="auto" w:sz="4" w:space="0"/>
                  </w:tcBorders>
                  <w:vAlign w:val="center"/>
                </w:tcPr>
                <w:p w14:paraId="63508C2E">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58D6225E">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tcPr>
                <w:p w14:paraId="5F5381D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2、对长势差，或与整体行道树相差较大，影响整体效果的树木，没有采取适当措施加以完善，每株扣2分</w:t>
                  </w:r>
                </w:p>
              </w:tc>
              <w:tc>
                <w:tcPr>
                  <w:tcW w:w="451" w:type="dxa"/>
                  <w:tcBorders>
                    <w:top w:val="nil"/>
                    <w:left w:val="nil"/>
                    <w:bottom w:val="single" w:color="auto" w:sz="4" w:space="0"/>
                    <w:right w:val="single" w:color="auto" w:sz="4" w:space="0"/>
                  </w:tcBorders>
                  <w:shd w:val="clear" w:color="auto" w:fill="auto"/>
                  <w:vAlign w:val="center"/>
                </w:tcPr>
                <w:p w14:paraId="312A542D">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3EA1EC47">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F4BB165">
              <w:tblPrEx>
                <w:tblCellMar>
                  <w:top w:w="0" w:type="dxa"/>
                  <w:left w:w="108" w:type="dxa"/>
                  <w:bottom w:w="0" w:type="dxa"/>
                  <w:right w:w="108" w:type="dxa"/>
                </w:tblCellMar>
              </w:tblPrEx>
              <w:trPr>
                <w:trHeight w:val="842" w:hRule="atLeast"/>
              </w:trPr>
              <w:tc>
                <w:tcPr>
                  <w:tcW w:w="609" w:type="dxa"/>
                  <w:vMerge w:val="continue"/>
                  <w:tcBorders>
                    <w:top w:val="nil"/>
                    <w:left w:val="single" w:color="auto" w:sz="4" w:space="0"/>
                    <w:bottom w:val="single" w:color="000000" w:sz="4" w:space="0"/>
                    <w:right w:val="single" w:color="auto" w:sz="4" w:space="0"/>
                  </w:tcBorders>
                  <w:vAlign w:val="center"/>
                </w:tcPr>
                <w:p w14:paraId="2B2BFFD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tcBorders>
                    <w:top w:val="nil"/>
                    <w:left w:val="nil"/>
                    <w:bottom w:val="single" w:color="auto" w:sz="4" w:space="0"/>
                    <w:right w:val="single" w:color="auto" w:sz="4" w:space="0"/>
                  </w:tcBorders>
                  <w:shd w:val="clear" w:color="auto" w:fill="auto"/>
                  <w:vAlign w:val="center"/>
                </w:tcPr>
                <w:p w14:paraId="1F2927B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2、树杆挺直，倾斜度不超过8度，树线平顺（</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5分）</w:t>
                  </w: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71921067">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1、树林倾斜度超过8度，每株扣1分（胸径30cm以上或有特殊原因的除外）</w:t>
                  </w:r>
                </w:p>
              </w:tc>
              <w:tc>
                <w:tcPr>
                  <w:tcW w:w="451" w:type="dxa"/>
                  <w:tcBorders>
                    <w:top w:val="nil"/>
                    <w:left w:val="nil"/>
                    <w:bottom w:val="single" w:color="auto" w:sz="4" w:space="0"/>
                    <w:right w:val="single" w:color="auto" w:sz="4" w:space="0"/>
                  </w:tcBorders>
                  <w:shd w:val="clear" w:color="auto" w:fill="auto"/>
                  <w:vAlign w:val="center"/>
                </w:tcPr>
                <w:p w14:paraId="4B0650D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22BB841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4BB6EC7">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1E2914B1">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C6F973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3、修剪规范，适当，树冠均衡，通风透光，树形优美，整体效果好（15分）</w:t>
                  </w: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59B6776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1、树冠下缘线不整齐，每检查点扣1-3分。</w:t>
                  </w:r>
                </w:p>
              </w:tc>
              <w:tc>
                <w:tcPr>
                  <w:tcW w:w="451" w:type="dxa"/>
                  <w:tcBorders>
                    <w:top w:val="nil"/>
                    <w:left w:val="nil"/>
                    <w:bottom w:val="single" w:color="auto" w:sz="4" w:space="0"/>
                    <w:right w:val="single" w:color="auto" w:sz="4" w:space="0"/>
                  </w:tcBorders>
                  <w:shd w:val="clear" w:color="auto" w:fill="auto"/>
                  <w:vAlign w:val="center"/>
                </w:tcPr>
                <w:p w14:paraId="0B17F4D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0C9F92C1">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BD263F3">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2405273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7F7A00A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5AECD7E5">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2、树冠不完整，树形相差较大，每株扣1分。</w:t>
                  </w:r>
                </w:p>
              </w:tc>
              <w:tc>
                <w:tcPr>
                  <w:tcW w:w="451" w:type="dxa"/>
                  <w:tcBorders>
                    <w:top w:val="nil"/>
                    <w:left w:val="nil"/>
                    <w:bottom w:val="single" w:color="auto" w:sz="4" w:space="0"/>
                    <w:right w:val="single" w:color="auto" w:sz="4" w:space="0"/>
                  </w:tcBorders>
                  <w:shd w:val="clear" w:color="auto" w:fill="auto"/>
                  <w:vAlign w:val="center"/>
                </w:tcPr>
                <w:p w14:paraId="1AC3A9C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77DB315E">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44EA2EE">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2ACDF041">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1B31F1C0">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71799E1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3、缺乏修剪，透风透光效果较差，每株扣1分。</w:t>
                  </w:r>
                </w:p>
              </w:tc>
              <w:tc>
                <w:tcPr>
                  <w:tcW w:w="451" w:type="dxa"/>
                  <w:tcBorders>
                    <w:top w:val="nil"/>
                    <w:left w:val="nil"/>
                    <w:bottom w:val="single" w:color="auto" w:sz="4" w:space="0"/>
                    <w:right w:val="single" w:color="auto" w:sz="4" w:space="0"/>
                  </w:tcBorders>
                  <w:shd w:val="clear" w:color="auto" w:fill="auto"/>
                  <w:vAlign w:val="center"/>
                </w:tcPr>
                <w:p w14:paraId="5F1EA8C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1C28D20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8B565C3">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57E8BDE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6F86626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6C0E75A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4、无正当理由重度截枝，影响景观的，每检查点扣5分。</w:t>
                  </w:r>
                </w:p>
              </w:tc>
              <w:tc>
                <w:tcPr>
                  <w:tcW w:w="451" w:type="dxa"/>
                  <w:tcBorders>
                    <w:top w:val="nil"/>
                    <w:left w:val="nil"/>
                    <w:bottom w:val="single" w:color="auto" w:sz="4" w:space="0"/>
                    <w:right w:val="single" w:color="auto" w:sz="4" w:space="0"/>
                  </w:tcBorders>
                  <w:shd w:val="clear" w:color="auto" w:fill="auto"/>
                  <w:vAlign w:val="center"/>
                </w:tcPr>
                <w:p w14:paraId="07F00407">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1D701247">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6B86240">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1FDC423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216F7C60">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4BB24599">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5、沿线灌森和地被修剪不适当，每检查点扣1-4分。</w:t>
                  </w:r>
                </w:p>
              </w:tc>
              <w:tc>
                <w:tcPr>
                  <w:tcW w:w="451" w:type="dxa"/>
                  <w:tcBorders>
                    <w:top w:val="nil"/>
                    <w:left w:val="nil"/>
                    <w:bottom w:val="single" w:color="auto" w:sz="4" w:space="0"/>
                    <w:right w:val="single" w:color="auto" w:sz="4" w:space="0"/>
                  </w:tcBorders>
                  <w:shd w:val="clear" w:color="auto" w:fill="auto"/>
                  <w:vAlign w:val="center"/>
                </w:tcPr>
                <w:p w14:paraId="5DEA60FE">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4649780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B0878E9">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0030F210">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02AB16D">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4、树冠无折损枝，无枯枝，无杂物；树冠以下无梦蘖枝；及时清理气生根（10分）</w:t>
                  </w: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37CDCED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1、树冠有折损枝、枯枝或杂物，每株扣0.5分；</w:t>
                  </w:r>
                </w:p>
              </w:tc>
              <w:tc>
                <w:tcPr>
                  <w:tcW w:w="451" w:type="dxa"/>
                  <w:tcBorders>
                    <w:top w:val="nil"/>
                    <w:left w:val="nil"/>
                    <w:bottom w:val="single" w:color="auto" w:sz="4" w:space="0"/>
                    <w:right w:val="single" w:color="auto" w:sz="4" w:space="0"/>
                  </w:tcBorders>
                  <w:shd w:val="clear" w:color="auto" w:fill="auto"/>
                  <w:vAlign w:val="center"/>
                </w:tcPr>
                <w:p w14:paraId="5AABA5B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06D3ED0A">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848468F">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1AD42EA4">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6349D6E9">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3ABDC4E5">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2、树冠以下有长度10cm以上的萌蘖枝，每株扣0.5分</w:t>
                  </w:r>
                </w:p>
              </w:tc>
              <w:tc>
                <w:tcPr>
                  <w:tcW w:w="451" w:type="dxa"/>
                  <w:tcBorders>
                    <w:top w:val="nil"/>
                    <w:left w:val="nil"/>
                    <w:bottom w:val="single" w:color="auto" w:sz="4" w:space="0"/>
                    <w:right w:val="single" w:color="auto" w:sz="4" w:space="0"/>
                  </w:tcBorders>
                  <w:shd w:val="clear" w:color="auto" w:fill="auto"/>
                  <w:vAlign w:val="center"/>
                </w:tcPr>
                <w:p w14:paraId="48331F9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3A4A6E89">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3E476B0">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5A4EA65E">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4540C06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14B96E24">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3、树木有气生根不及时清理的，每株扣0.5分</w:t>
                  </w:r>
                </w:p>
              </w:tc>
              <w:tc>
                <w:tcPr>
                  <w:tcW w:w="451" w:type="dxa"/>
                  <w:tcBorders>
                    <w:top w:val="nil"/>
                    <w:left w:val="nil"/>
                    <w:bottom w:val="single" w:color="auto" w:sz="4" w:space="0"/>
                    <w:right w:val="single" w:color="auto" w:sz="4" w:space="0"/>
                  </w:tcBorders>
                  <w:shd w:val="clear" w:color="auto" w:fill="auto"/>
                  <w:vAlign w:val="center"/>
                </w:tcPr>
                <w:p w14:paraId="24462C7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6761D00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64474D6">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12259C3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978CD6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5、行道树立地花基完好，树穴整洁美观，无积水（</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6116233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1、树穴有杂草，杂物或堆泥过高，每株扣0.5分</w:t>
                  </w:r>
                </w:p>
              </w:tc>
              <w:tc>
                <w:tcPr>
                  <w:tcW w:w="451" w:type="dxa"/>
                  <w:tcBorders>
                    <w:top w:val="nil"/>
                    <w:left w:val="nil"/>
                    <w:bottom w:val="single" w:color="auto" w:sz="4" w:space="0"/>
                    <w:right w:val="single" w:color="auto" w:sz="4" w:space="0"/>
                  </w:tcBorders>
                  <w:shd w:val="clear" w:color="auto" w:fill="auto"/>
                  <w:vAlign w:val="center"/>
                </w:tcPr>
                <w:p w14:paraId="29482DA1">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577C9C1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C4756B0">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48C9D88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7395E1FD">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660CCEBD">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2、花基损坏不及时修复，每处扣1分</w:t>
                  </w:r>
                </w:p>
              </w:tc>
              <w:tc>
                <w:tcPr>
                  <w:tcW w:w="451" w:type="dxa"/>
                  <w:tcBorders>
                    <w:top w:val="nil"/>
                    <w:left w:val="nil"/>
                    <w:bottom w:val="single" w:color="auto" w:sz="4" w:space="0"/>
                    <w:right w:val="single" w:color="auto" w:sz="4" w:space="0"/>
                  </w:tcBorders>
                  <w:shd w:val="clear" w:color="auto" w:fill="auto"/>
                  <w:vAlign w:val="center"/>
                </w:tcPr>
                <w:p w14:paraId="0CABAD11">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68F70440">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24566BC">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7079B0F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45DF6B25">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594A4F6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3、树穴积水，每处扣0.5分</w:t>
                  </w:r>
                </w:p>
              </w:tc>
              <w:tc>
                <w:tcPr>
                  <w:tcW w:w="451" w:type="dxa"/>
                  <w:tcBorders>
                    <w:top w:val="nil"/>
                    <w:left w:val="nil"/>
                    <w:bottom w:val="single" w:color="auto" w:sz="4" w:space="0"/>
                    <w:right w:val="single" w:color="auto" w:sz="4" w:space="0"/>
                  </w:tcBorders>
                  <w:shd w:val="clear" w:color="auto" w:fill="auto"/>
                  <w:vAlign w:val="center"/>
                </w:tcPr>
                <w:p w14:paraId="44755841">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26739241">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E0148D5">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59787F8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8DA5D9A">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6、无缺株和枯死树：补植树木规格和原有苗木规格相当（</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21930BC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1、乔木缺株，每株扣3分（已将情况报送的除外）</w:t>
                  </w:r>
                </w:p>
              </w:tc>
              <w:tc>
                <w:tcPr>
                  <w:tcW w:w="451" w:type="dxa"/>
                  <w:tcBorders>
                    <w:top w:val="nil"/>
                    <w:left w:val="nil"/>
                    <w:bottom w:val="single" w:color="auto" w:sz="4" w:space="0"/>
                    <w:right w:val="single" w:color="auto" w:sz="4" w:space="0"/>
                  </w:tcBorders>
                  <w:shd w:val="clear" w:color="auto" w:fill="auto"/>
                  <w:vAlign w:val="center"/>
                </w:tcPr>
                <w:p w14:paraId="7158B3BA">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35C3477A">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FF424EE">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0C3B231E">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38EB9BCE">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0535552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2、灌木缺株，每株扣1分（已将情况报送的除外）</w:t>
                  </w:r>
                </w:p>
              </w:tc>
              <w:tc>
                <w:tcPr>
                  <w:tcW w:w="451" w:type="dxa"/>
                  <w:tcBorders>
                    <w:top w:val="nil"/>
                    <w:left w:val="nil"/>
                    <w:bottom w:val="single" w:color="auto" w:sz="4" w:space="0"/>
                    <w:right w:val="single" w:color="auto" w:sz="4" w:space="0"/>
                  </w:tcBorders>
                  <w:shd w:val="clear" w:color="auto" w:fill="auto"/>
                  <w:vAlign w:val="center"/>
                </w:tcPr>
                <w:p w14:paraId="47D49B3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36CCE8C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D796485">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36F971D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7800CB5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43C5B34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3、地被缺株或裸露，每平方米扣0.5分（已将情况报送的除外）</w:t>
                  </w:r>
                </w:p>
              </w:tc>
              <w:tc>
                <w:tcPr>
                  <w:tcW w:w="451" w:type="dxa"/>
                  <w:tcBorders>
                    <w:top w:val="nil"/>
                    <w:left w:val="nil"/>
                    <w:bottom w:val="single" w:color="auto" w:sz="4" w:space="0"/>
                    <w:right w:val="single" w:color="auto" w:sz="4" w:space="0"/>
                  </w:tcBorders>
                  <w:shd w:val="clear" w:color="auto" w:fill="auto"/>
                  <w:vAlign w:val="center"/>
                </w:tcPr>
                <w:p w14:paraId="50793420">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58DE363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A2BD7ED">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416ED30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70B3BF4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6F3E0E7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4、补植苗木规格与原有苗木规格不想当，每株扣1分（并要求更换）</w:t>
                  </w:r>
                </w:p>
              </w:tc>
              <w:tc>
                <w:tcPr>
                  <w:tcW w:w="451" w:type="dxa"/>
                  <w:tcBorders>
                    <w:top w:val="nil"/>
                    <w:left w:val="nil"/>
                    <w:bottom w:val="single" w:color="auto" w:sz="4" w:space="0"/>
                    <w:right w:val="single" w:color="auto" w:sz="4" w:space="0"/>
                  </w:tcBorders>
                  <w:shd w:val="clear" w:color="auto" w:fill="auto"/>
                  <w:vAlign w:val="center"/>
                </w:tcPr>
                <w:p w14:paraId="209501C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1E0D46DE">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D4F61DE">
              <w:tblPrEx>
                <w:tblCellMar>
                  <w:top w:w="0" w:type="dxa"/>
                  <w:left w:w="108" w:type="dxa"/>
                  <w:bottom w:w="0" w:type="dxa"/>
                  <w:right w:w="108" w:type="dxa"/>
                </w:tblCellMar>
              </w:tblPrEx>
              <w:trPr>
                <w:trHeight w:val="404" w:hRule="atLeast"/>
              </w:trPr>
              <w:tc>
                <w:tcPr>
                  <w:tcW w:w="609" w:type="dxa"/>
                  <w:vMerge w:val="restart"/>
                  <w:tcBorders>
                    <w:top w:val="nil"/>
                    <w:left w:val="single" w:color="auto" w:sz="4" w:space="0"/>
                    <w:bottom w:val="single" w:color="000000" w:sz="4" w:space="0"/>
                    <w:right w:val="single" w:color="auto" w:sz="4" w:space="0"/>
                  </w:tcBorders>
                  <w:shd w:val="clear" w:color="auto" w:fill="auto"/>
                  <w:vAlign w:val="center"/>
                </w:tcPr>
                <w:p w14:paraId="7F3374D7">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  园</w:t>
                  </w:r>
                </w:p>
              </w:tc>
              <w:tc>
                <w:tcPr>
                  <w:tcW w:w="6151" w:type="dxa"/>
                  <w:gridSpan w:val="7"/>
                  <w:tcBorders>
                    <w:top w:val="single" w:color="auto" w:sz="4" w:space="0"/>
                    <w:left w:val="nil"/>
                    <w:bottom w:val="single" w:color="auto" w:sz="4" w:space="0"/>
                    <w:right w:val="single" w:color="auto" w:sz="4" w:space="0"/>
                  </w:tcBorders>
                  <w:shd w:val="clear" w:color="auto" w:fill="auto"/>
                  <w:vAlign w:val="center"/>
                </w:tcPr>
                <w:p w14:paraId="6F759CC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一、乔木（30分）</w:t>
                  </w:r>
                </w:p>
              </w:tc>
            </w:tr>
            <w:tr w14:paraId="36FCFDEF">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5352986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5CD131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无缺株和枯死树：主杆较挺直，长势良好，无缺水缺肥现象：修剪适当，无明显枯枝、杂物，基本无病虫害：树穴土壤疏松，无杂草，无板结现象，无垃圾杂物，树冠以下无萌芽枝</w:t>
                  </w: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7CDAD31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1、树木生长势较差，夜色黄枯的，每株扣1分</w:t>
                  </w:r>
                </w:p>
              </w:tc>
              <w:tc>
                <w:tcPr>
                  <w:tcW w:w="451" w:type="dxa"/>
                  <w:tcBorders>
                    <w:top w:val="nil"/>
                    <w:left w:val="nil"/>
                    <w:bottom w:val="single" w:color="auto" w:sz="4" w:space="0"/>
                    <w:right w:val="single" w:color="auto" w:sz="4" w:space="0"/>
                  </w:tcBorders>
                  <w:shd w:val="clear" w:color="auto" w:fill="auto"/>
                  <w:vAlign w:val="center"/>
                </w:tcPr>
                <w:p w14:paraId="1E03B1B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1807F0A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151E13E">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07776874">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4A9CD1FA">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1B51E30E">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2、病虫害危害明显的，每株扣1分</w:t>
                  </w:r>
                </w:p>
              </w:tc>
              <w:tc>
                <w:tcPr>
                  <w:tcW w:w="451" w:type="dxa"/>
                  <w:tcBorders>
                    <w:top w:val="nil"/>
                    <w:left w:val="nil"/>
                    <w:bottom w:val="single" w:color="auto" w:sz="4" w:space="0"/>
                    <w:right w:val="single" w:color="auto" w:sz="4" w:space="0"/>
                  </w:tcBorders>
                  <w:shd w:val="clear" w:color="auto" w:fill="auto"/>
                  <w:vAlign w:val="center"/>
                </w:tcPr>
                <w:p w14:paraId="6E2882FE">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56ED3D3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0755888">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121FC31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55E0B94A">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47D4AA5D">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3、死亡或缺株的，缺杆的，每株扣2分（已将情况报送的除外）</w:t>
                  </w:r>
                </w:p>
              </w:tc>
              <w:tc>
                <w:tcPr>
                  <w:tcW w:w="451" w:type="dxa"/>
                  <w:tcBorders>
                    <w:top w:val="nil"/>
                    <w:left w:val="nil"/>
                    <w:bottom w:val="single" w:color="auto" w:sz="4" w:space="0"/>
                    <w:right w:val="single" w:color="auto" w:sz="4" w:space="0"/>
                  </w:tcBorders>
                  <w:shd w:val="clear" w:color="auto" w:fill="auto"/>
                  <w:vAlign w:val="center"/>
                </w:tcPr>
                <w:p w14:paraId="563119CD">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222DF6D7">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20C7E3E">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08E5F259">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4B3C947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52F1E5F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4、补植规格与原有树木规格不想当的，每株扣1分</w:t>
                  </w:r>
                </w:p>
              </w:tc>
              <w:tc>
                <w:tcPr>
                  <w:tcW w:w="451" w:type="dxa"/>
                  <w:tcBorders>
                    <w:top w:val="nil"/>
                    <w:left w:val="nil"/>
                    <w:bottom w:val="single" w:color="auto" w:sz="4" w:space="0"/>
                    <w:right w:val="single" w:color="auto" w:sz="4" w:space="0"/>
                  </w:tcBorders>
                  <w:shd w:val="clear" w:color="auto" w:fill="auto"/>
                  <w:vAlign w:val="center"/>
                </w:tcPr>
                <w:p w14:paraId="7161E510">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5A2CEF5D">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09BDE4B">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4522472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028094E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71DD26B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5、树木倾斜度过大影响景观，每株扣0.5分</w:t>
                  </w:r>
                </w:p>
              </w:tc>
              <w:tc>
                <w:tcPr>
                  <w:tcW w:w="451" w:type="dxa"/>
                  <w:tcBorders>
                    <w:top w:val="nil"/>
                    <w:left w:val="nil"/>
                    <w:bottom w:val="single" w:color="auto" w:sz="4" w:space="0"/>
                    <w:right w:val="single" w:color="auto" w:sz="4" w:space="0"/>
                  </w:tcBorders>
                  <w:shd w:val="clear" w:color="auto" w:fill="auto"/>
                  <w:vAlign w:val="center"/>
                </w:tcPr>
                <w:p w14:paraId="7A156A2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5BBD8EC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7EFD23B">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47F945B0">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7602286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5AEA7BFD">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6、缺乏必要的修剪，或树木有明显折损枝、枯枝、杂物的，每株扣0.5分</w:t>
                  </w:r>
                </w:p>
              </w:tc>
              <w:tc>
                <w:tcPr>
                  <w:tcW w:w="451" w:type="dxa"/>
                  <w:tcBorders>
                    <w:top w:val="nil"/>
                    <w:left w:val="nil"/>
                    <w:bottom w:val="single" w:color="auto" w:sz="4" w:space="0"/>
                    <w:right w:val="single" w:color="auto" w:sz="4" w:space="0"/>
                  </w:tcBorders>
                  <w:shd w:val="clear" w:color="auto" w:fill="auto"/>
                  <w:vAlign w:val="center"/>
                </w:tcPr>
                <w:p w14:paraId="5554873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6ACE1537">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2AC8C3F">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5A53DED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70360EF9">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7E6DE2BA">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7、擅自对树木重度修剪，影响景观效果的，每株扣2分</w:t>
                  </w:r>
                </w:p>
              </w:tc>
              <w:tc>
                <w:tcPr>
                  <w:tcW w:w="451" w:type="dxa"/>
                  <w:tcBorders>
                    <w:top w:val="nil"/>
                    <w:left w:val="nil"/>
                    <w:bottom w:val="single" w:color="auto" w:sz="4" w:space="0"/>
                    <w:right w:val="single" w:color="auto" w:sz="4" w:space="0"/>
                  </w:tcBorders>
                  <w:shd w:val="clear" w:color="auto" w:fill="auto"/>
                  <w:vAlign w:val="center"/>
                </w:tcPr>
                <w:p w14:paraId="261A11F4">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1F4B99F5">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24840AD">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278E9094">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1AB0D10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6C52DCD4">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8、穴位的土壤板结、有杂草的，没处扣1分</w:t>
                  </w:r>
                </w:p>
              </w:tc>
              <w:tc>
                <w:tcPr>
                  <w:tcW w:w="451" w:type="dxa"/>
                  <w:tcBorders>
                    <w:top w:val="nil"/>
                    <w:left w:val="nil"/>
                    <w:bottom w:val="single" w:color="auto" w:sz="4" w:space="0"/>
                    <w:right w:val="single" w:color="auto" w:sz="4" w:space="0"/>
                  </w:tcBorders>
                  <w:shd w:val="clear" w:color="auto" w:fill="auto"/>
                  <w:vAlign w:val="center"/>
                </w:tcPr>
                <w:p w14:paraId="507A863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44CBDB7D">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EF5D635">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2D24C57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224E2D39">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43B393C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9、树冠以下萌蘖枝长度超过20cm的，每株扣0.5分</w:t>
                  </w:r>
                </w:p>
              </w:tc>
              <w:tc>
                <w:tcPr>
                  <w:tcW w:w="451" w:type="dxa"/>
                  <w:tcBorders>
                    <w:top w:val="nil"/>
                    <w:left w:val="nil"/>
                    <w:bottom w:val="single" w:color="auto" w:sz="4" w:space="0"/>
                    <w:right w:val="single" w:color="auto" w:sz="4" w:space="0"/>
                  </w:tcBorders>
                  <w:shd w:val="clear" w:color="auto" w:fill="auto"/>
                  <w:vAlign w:val="center"/>
                </w:tcPr>
                <w:p w14:paraId="5D902EF0">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1CE1F0DD">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E654785">
              <w:tblPrEx>
                <w:tblCellMar>
                  <w:top w:w="0" w:type="dxa"/>
                  <w:left w:w="108" w:type="dxa"/>
                  <w:bottom w:w="0" w:type="dxa"/>
                  <w:right w:w="108" w:type="dxa"/>
                </w:tblCellMar>
              </w:tblPrEx>
              <w:trPr>
                <w:trHeight w:val="449" w:hRule="atLeast"/>
              </w:trPr>
              <w:tc>
                <w:tcPr>
                  <w:tcW w:w="609" w:type="dxa"/>
                  <w:vMerge w:val="continue"/>
                  <w:tcBorders>
                    <w:top w:val="nil"/>
                    <w:left w:val="single" w:color="auto" w:sz="4" w:space="0"/>
                    <w:bottom w:val="single" w:color="000000" w:sz="4" w:space="0"/>
                    <w:right w:val="single" w:color="auto" w:sz="4" w:space="0"/>
                  </w:tcBorders>
                  <w:vAlign w:val="center"/>
                </w:tcPr>
                <w:p w14:paraId="333DF7F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6151" w:type="dxa"/>
                  <w:gridSpan w:val="7"/>
                  <w:tcBorders>
                    <w:top w:val="single" w:color="auto" w:sz="4" w:space="0"/>
                    <w:left w:val="nil"/>
                    <w:bottom w:val="single" w:color="auto" w:sz="4" w:space="0"/>
                    <w:right w:val="single" w:color="auto" w:sz="4" w:space="0"/>
                  </w:tcBorders>
                  <w:shd w:val="clear" w:color="auto" w:fill="auto"/>
                  <w:vAlign w:val="center"/>
                </w:tcPr>
                <w:p w14:paraId="0CB67EA9">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二、灌木（20分）</w:t>
                  </w:r>
                </w:p>
              </w:tc>
            </w:tr>
            <w:tr w14:paraId="2C5F731A">
              <w:tblPrEx>
                <w:tblCellMar>
                  <w:top w:w="0" w:type="dxa"/>
                  <w:left w:w="108" w:type="dxa"/>
                  <w:bottom w:w="0" w:type="dxa"/>
                  <w:right w:w="108" w:type="dxa"/>
                </w:tblCellMar>
              </w:tblPrEx>
              <w:trPr>
                <w:trHeight w:val="525" w:hRule="atLeast"/>
              </w:trPr>
              <w:tc>
                <w:tcPr>
                  <w:tcW w:w="609" w:type="dxa"/>
                  <w:vMerge w:val="continue"/>
                  <w:tcBorders>
                    <w:top w:val="nil"/>
                    <w:left w:val="single" w:color="auto" w:sz="4" w:space="0"/>
                    <w:bottom w:val="single" w:color="000000" w:sz="4" w:space="0"/>
                    <w:right w:val="single" w:color="auto" w:sz="4" w:space="0"/>
                  </w:tcBorders>
                  <w:vAlign w:val="center"/>
                </w:tcPr>
                <w:p w14:paraId="5540628D">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restart"/>
                  <w:tcBorders>
                    <w:top w:val="nil"/>
                    <w:left w:val="single" w:color="auto" w:sz="4" w:space="0"/>
                    <w:right w:val="single" w:color="auto" w:sz="4" w:space="0"/>
                  </w:tcBorders>
                  <w:shd w:val="clear" w:color="auto" w:fill="auto"/>
                  <w:vAlign w:val="center"/>
                </w:tcPr>
                <w:p w14:paraId="6BE290FB">
                  <w:pPr>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无缺株和枯死株，植株长势良好，无缺水缺肥现象，修剪适当，植株基本保持造型，无明显枯枝、杂物，无明显病虫害，立地土壤疏松，无杂草，无板结现象，无垃圾杂物，界线适当整理，竹林过密应适当间伐或间株，使竹林通风透光，留竹分布均匀，生长健壮</w:t>
                  </w: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0A803A89">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1、生长不良，叶色差，每株（平方米）扣0.5分（不足1平方米按1平方米计算）</w:t>
                  </w:r>
                </w:p>
              </w:tc>
              <w:tc>
                <w:tcPr>
                  <w:tcW w:w="451" w:type="dxa"/>
                  <w:tcBorders>
                    <w:top w:val="nil"/>
                    <w:left w:val="nil"/>
                    <w:bottom w:val="single" w:color="auto" w:sz="4" w:space="0"/>
                    <w:right w:val="single" w:color="auto" w:sz="4" w:space="0"/>
                  </w:tcBorders>
                  <w:shd w:val="clear" w:color="auto" w:fill="auto"/>
                  <w:vAlign w:val="center"/>
                </w:tcPr>
                <w:p w14:paraId="195E768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228014BA">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4555FC8">
              <w:tblPrEx>
                <w:tblCellMar>
                  <w:top w:w="0" w:type="dxa"/>
                  <w:left w:w="108" w:type="dxa"/>
                  <w:bottom w:w="0" w:type="dxa"/>
                  <w:right w:w="108" w:type="dxa"/>
                </w:tblCellMar>
              </w:tblPrEx>
              <w:trPr>
                <w:trHeight w:val="954" w:hRule="atLeast"/>
              </w:trPr>
              <w:tc>
                <w:tcPr>
                  <w:tcW w:w="609" w:type="dxa"/>
                  <w:vMerge w:val="continue"/>
                  <w:tcBorders>
                    <w:top w:val="nil"/>
                    <w:left w:val="single" w:color="auto" w:sz="4" w:space="0"/>
                    <w:bottom w:val="single" w:color="000000" w:sz="4" w:space="0"/>
                    <w:right w:val="single" w:color="auto" w:sz="4" w:space="0"/>
                  </w:tcBorders>
                  <w:vAlign w:val="center"/>
                </w:tcPr>
                <w:p w14:paraId="0F52C31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left w:val="single" w:color="auto" w:sz="4" w:space="0"/>
                    <w:right w:val="single" w:color="auto" w:sz="4" w:space="0"/>
                  </w:tcBorders>
                  <w:vAlign w:val="center"/>
                </w:tcPr>
                <w:p w14:paraId="7833F96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132D84FA">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2、死亡、缺株或中毒残损的，每株（平方米）扣1分，对已检查过要求更换或补种（如死亡、缺株及重度残损）的植株，仍不按规定时间完成的加倍扣分，并按月累计</w:t>
                  </w:r>
                </w:p>
              </w:tc>
              <w:tc>
                <w:tcPr>
                  <w:tcW w:w="451" w:type="dxa"/>
                  <w:tcBorders>
                    <w:top w:val="nil"/>
                    <w:left w:val="nil"/>
                    <w:bottom w:val="single" w:color="auto" w:sz="4" w:space="0"/>
                    <w:right w:val="single" w:color="auto" w:sz="4" w:space="0"/>
                  </w:tcBorders>
                  <w:shd w:val="clear" w:color="auto" w:fill="auto"/>
                  <w:vAlign w:val="center"/>
                </w:tcPr>
                <w:p w14:paraId="6D2B3029">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3164CA2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CE0CCA8">
              <w:tblPrEx>
                <w:tblCellMar>
                  <w:top w:w="0" w:type="dxa"/>
                  <w:left w:w="108" w:type="dxa"/>
                  <w:bottom w:w="0" w:type="dxa"/>
                  <w:right w:w="108" w:type="dxa"/>
                </w:tblCellMar>
              </w:tblPrEx>
              <w:trPr>
                <w:trHeight w:val="525" w:hRule="atLeast"/>
              </w:trPr>
              <w:tc>
                <w:tcPr>
                  <w:tcW w:w="609" w:type="dxa"/>
                  <w:vMerge w:val="continue"/>
                  <w:tcBorders>
                    <w:top w:val="nil"/>
                    <w:left w:val="single" w:color="auto" w:sz="4" w:space="0"/>
                    <w:bottom w:val="single" w:color="000000" w:sz="4" w:space="0"/>
                    <w:right w:val="single" w:color="auto" w:sz="4" w:space="0"/>
                  </w:tcBorders>
                  <w:vAlign w:val="center"/>
                </w:tcPr>
                <w:p w14:paraId="65E629C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restart"/>
                  <w:tcBorders>
                    <w:top w:val="nil"/>
                    <w:left w:val="single" w:color="auto" w:sz="4" w:space="0"/>
                    <w:right w:val="single" w:color="auto" w:sz="4" w:space="0"/>
                  </w:tcBorders>
                  <w:vAlign w:val="center"/>
                </w:tcPr>
                <w:p w14:paraId="12A35497">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383CB917">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3、缺欠修剪，或有折损枝，枯枝枯叶、杂物的，每株（平方米）扣0.5分</w:t>
                  </w:r>
                </w:p>
              </w:tc>
              <w:tc>
                <w:tcPr>
                  <w:tcW w:w="451" w:type="dxa"/>
                  <w:tcBorders>
                    <w:top w:val="nil"/>
                    <w:left w:val="nil"/>
                    <w:bottom w:val="single" w:color="auto" w:sz="4" w:space="0"/>
                    <w:right w:val="single" w:color="auto" w:sz="4" w:space="0"/>
                  </w:tcBorders>
                  <w:shd w:val="clear" w:color="auto" w:fill="auto"/>
                  <w:vAlign w:val="center"/>
                </w:tcPr>
                <w:p w14:paraId="5AB8FCE1">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07F88F2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9B2B9DF">
              <w:tblPrEx>
                <w:tblCellMar>
                  <w:top w:w="0" w:type="dxa"/>
                  <w:left w:w="108" w:type="dxa"/>
                  <w:bottom w:w="0" w:type="dxa"/>
                  <w:right w:w="108" w:type="dxa"/>
                </w:tblCellMar>
              </w:tblPrEx>
              <w:trPr>
                <w:trHeight w:val="525" w:hRule="atLeast"/>
              </w:trPr>
              <w:tc>
                <w:tcPr>
                  <w:tcW w:w="609" w:type="dxa"/>
                  <w:vMerge w:val="continue"/>
                  <w:tcBorders>
                    <w:top w:val="nil"/>
                    <w:left w:val="single" w:color="auto" w:sz="4" w:space="0"/>
                    <w:bottom w:val="single" w:color="000000" w:sz="4" w:space="0"/>
                    <w:right w:val="single" w:color="auto" w:sz="4" w:space="0"/>
                  </w:tcBorders>
                  <w:vAlign w:val="center"/>
                </w:tcPr>
                <w:p w14:paraId="65684F95">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6FC9B51D">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4C75C555">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4、有明显病虫害的，每株（平方米）扣1分</w:t>
                  </w:r>
                </w:p>
              </w:tc>
              <w:tc>
                <w:tcPr>
                  <w:tcW w:w="451" w:type="dxa"/>
                  <w:tcBorders>
                    <w:top w:val="nil"/>
                    <w:left w:val="nil"/>
                    <w:bottom w:val="single" w:color="auto" w:sz="4" w:space="0"/>
                    <w:right w:val="single" w:color="auto" w:sz="4" w:space="0"/>
                  </w:tcBorders>
                  <w:shd w:val="clear" w:color="auto" w:fill="auto"/>
                  <w:vAlign w:val="center"/>
                </w:tcPr>
                <w:p w14:paraId="1A875F9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271D8347">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E0BA578">
              <w:tblPrEx>
                <w:tblCellMar>
                  <w:top w:w="0" w:type="dxa"/>
                  <w:left w:w="108" w:type="dxa"/>
                  <w:bottom w:w="0" w:type="dxa"/>
                  <w:right w:w="108" w:type="dxa"/>
                </w:tblCellMar>
              </w:tblPrEx>
              <w:trPr>
                <w:trHeight w:val="525" w:hRule="atLeast"/>
              </w:trPr>
              <w:tc>
                <w:tcPr>
                  <w:tcW w:w="609" w:type="dxa"/>
                  <w:vMerge w:val="continue"/>
                  <w:tcBorders>
                    <w:top w:val="nil"/>
                    <w:left w:val="single" w:color="auto" w:sz="4" w:space="0"/>
                    <w:bottom w:val="single" w:color="000000" w:sz="4" w:space="0"/>
                    <w:right w:val="single" w:color="auto" w:sz="4" w:space="0"/>
                  </w:tcBorders>
                  <w:vAlign w:val="center"/>
                </w:tcPr>
                <w:p w14:paraId="364A5A89">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274E92EE">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73FA48F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5、树穴（片植灌木边界线）欠整理，杂物明显或者土壤板结，积水的，每处扣0.5分</w:t>
                  </w:r>
                </w:p>
              </w:tc>
              <w:tc>
                <w:tcPr>
                  <w:tcW w:w="451" w:type="dxa"/>
                  <w:tcBorders>
                    <w:top w:val="nil"/>
                    <w:left w:val="nil"/>
                    <w:bottom w:val="single" w:color="auto" w:sz="4" w:space="0"/>
                    <w:right w:val="single" w:color="auto" w:sz="4" w:space="0"/>
                  </w:tcBorders>
                  <w:shd w:val="clear" w:color="auto" w:fill="auto"/>
                  <w:vAlign w:val="center"/>
                </w:tcPr>
                <w:p w14:paraId="5BB6464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5765E19D">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700A106">
              <w:tblPrEx>
                <w:tblCellMar>
                  <w:top w:w="0" w:type="dxa"/>
                  <w:left w:w="108" w:type="dxa"/>
                  <w:bottom w:w="0" w:type="dxa"/>
                  <w:right w:w="108" w:type="dxa"/>
                </w:tblCellMar>
              </w:tblPrEx>
              <w:trPr>
                <w:trHeight w:val="525" w:hRule="atLeast"/>
              </w:trPr>
              <w:tc>
                <w:tcPr>
                  <w:tcW w:w="609" w:type="dxa"/>
                  <w:vMerge w:val="continue"/>
                  <w:tcBorders>
                    <w:top w:val="nil"/>
                    <w:left w:val="single" w:color="auto" w:sz="4" w:space="0"/>
                    <w:bottom w:val="single" w:color="000000" w:sz="4" w:space="0"/>
                    <w:right w:val="single" w:color="auto" w:sz="4" w:space="0"/>
                  </w:tcBorders>
                  <w:vAlign w:val="center"/>
                </w:tcPr>
                <w:p w14:paraId="59A9B07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3573756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4A51C9F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6、补植规格与原有灌木规格不想当，每处扣0.5分</w:t>
                  </w:r>
                </w:p>
              </w:tc>
              <w:tc>
                <w:tcPr>
                  <w:tcW w:w="451" w:type="dxa"/>
                  <w:tcBorders>
                    <w:top w:val="nil"/>
                    <w:left w:val="nil"/>
                    <w:bottom w:val="single" w:color="auto" w:sz="4" w:space="0"/>
                    <w:right w:val="single" w:color="auto" w:sz="4" w:space="0"/>
                  </w:tcBorders>
                  <w:shd w:val="clear" w:color="auto" w:fill="auto"/>
                  <w:vAlign w:val="center"/>
                </w:tcPr>
                <w:p w14:paraId="08B4D24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757B4DAA">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E2069FB">
              <w:tblPrEx>
                <w:tblCellMar>
                  <w:top w:w="0" w:type="dxa"/>
                  <w:left w:w="108" w:type="dxa"/>
                  <w:bottom w:w="0" w:type="dxa"/>
                  <w:right w:w="108" w:type="dxa"/>
                </w:tblCellMar>
              </w:tblPrEx>
              <w:trPr>
                <w:trHeight w:val="525" w:hRule="atLeast"/>
              </w:trPr>
              <w:tc>
                <w:tcPr>
                  <w:tcW w:w="609" w:type="dxa"/>
                  <w:vMerge w:val="continue"/>
                  <w:tcBorders>
                    <w:top w:val="nil"/>
                    <w:left w:val="single" w:color="auto" w:sz="4" w:space="0"/>
                    <w:bottom w:val="single" w:color="000000" w:sz="4" w:space="0"/>
                    <w:right w:val="single" w:color="auto" w:sz="4" w:space="0"/>
                  </w:tcBorders>
                  <w:vAlign w:val="center"/>
                </w:tcPr>
                <w:p w14:paraId="2BB156F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single" w:color="auto" w:sz="4" w:space="0"/>
                    <w:right w:val="single" w:color="auto" w:sz="4" w:space="0"/>
                  </w:tcBorders>
                  <w:vAlign w:val="center"/>
                </w:tcPr>
                <w:p w14:paraId="472ACE10">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4C08F7C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7、擅自对灌木重度修剪，影响景观效果，每株扣1分</w:t>
                  </w:r>
                </w:p>
              </w:tc>
              <w:tc>
                <w:tcPr>
                  <w:tcW w:w="451" w:type="dxa"/>
                  <w:tcBorders>
                    <w:top w:val="nil"/>
                    <w:left w:val="nil"/>
                    <w:bottom w:val="single" w:color="auto" w:sz="4" w:space="0"/>
                    <w:right w:val="single" w:color="auto" w:sz="4" w:space="0"/>
                  </w:tcBorders>
                  <w:shd w:val="clear" w:color="auto" w:fill="auto"/>
                  <w:vAlign w:val="center"/>
                </w:tcPr>
                <w:p w14:paraId="3B88EE35">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502F005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00A32B7">
              <w:tblPrEx>
                <w:tblCellMar>
                  <w:top w:w="0" w:type="dxa"/>
                  <w:left w:w="108" w:type="dxa"/>
                  <w:bottom w:w="0" w:type="dxa"/>
                  <w:right w:w="108" w:type="dxa"/>
                </w:tblCellMar>
              </w:tblPrEx>
              <w:trPr>
                <w:trHeight w:val="419" w:hRule="atLeast"/>
              </w:trPr>
              <w:tc>
                <w:tcPr>
                  <w:tcW w:w="609" w:type="dxa"/>
                  <w:vMerge w:val="restart"/>
                  <w:tcBorders>
                    <w:top w:val="nil"/>
                    <w:left w:val="single" w:color="auto" w:sz="4" w:space="0"/>
                    <w:bottom w:val="nil"/>
                    <w:right w:val="single" w:color="auto" w:sz="4" w:space="0"/>
                  </w:tcBorders>
                  <w:shd w:val="clear" w:color="auto" w:fill="auto"/>
                  <w:vAlign w:val="center"/>
                </w:tcPr>
                <w:p w14:paraId="6DC38F9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  园</w:t>
                  </w:r>
                </w:p>
              </w:tc>
              <w:tc>
                <w:tcPr>
                  <w:tcW w:w="6151" w:type="dxa"/>
                  <w:gridSpan w:val="7"/>
                  <w:tcBorders>
                    <w:top w:val="single" w:color="auto" w:sz="4" w:space="0"/>
                    <w:left w:val="nil"/>
                    <w:bottom w:val="single" w:color="auto" w:sz="4" w:space="0"/>
                    <w:right w:val="single" w:color="auto" w:sz="4" w:space="0"/>
                  </w:tcBorders>
                  <w:shd w:val="clear" w:color="auto" w:fill="auto"/>
                  <w:vAlign w:val="center"/>
                </w:tcPr>
                <w:p w14:paraId="55ABCFA5">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三、草坪及其他地被类植物（30分）</w:t>
                  </w:r>
                </w:p>
              </w:tc>
            </w:tr>
            <w:tr w14:paraId="2152EE70">
              <w:tblPrEx>
                <w:tblCellMar>
                  <w:top w:w="0" w:type="dxa"/>
                  <w:left w:w="108" w:type="dxa"/>
                  <w:bottom w:w="0" w:type="dxa"/>
                  <w:right w:w="108" w:type="dxa"/>
                </w:tblCellMar>
              </w:tblPrEx>
              <w:trPr>
                <w:trHeight w:val="419" w:hRule="atLeast"/>
              </w:trPr>
              <w:tc>
                <w:tcPr>
                  <w:tcW w:w="609" w:type="dxa"/>
                  <w:vMerge w:val="continue"/>
                  <w:tcBorders>
                    <w:top w:val="nil"/>
                    <w:left w:val="single" w:color="auto" w:sz="4" w:space="0"/>
                    <w:bottom w:val="nil"/>
                    <w:right w:val="single" w:color="auto" w:sz="4" w:space="0"/>
                  </w:tcBorders>
                  <w:vAlign w:val="center"/>
                </w:tcPr>
                <w:p w14:paraId="67B8F13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restart"/>
                  <w:tcBorders>
                    <w:top w:val="nil"/>
                    <w:left w:val="single" w:color="auto" w:sz="4" w:space="0"/>
                    <w:bottom w:val="nil"/>
                    <w:right w:val="single" w:color="auto" w:sz="4" w:space="0"/>
                  </w:tcBorders>
                  <w:shd w:val="clear" w:color="auto" w:fill="auto"/>
                  <w:vAlign w:val="center"/>
                </w:tcPr>
                <w:p w14:paraId="7F528359">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绿化基本无裸露，地被类植物平整青绿，草坪高度控制在60cm以下，保持清洁卫生，无杂物，无杂草，无明显病虫害</w:t>
                  </w: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40D0058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1、黄土裸露明显，影响景观的，扣1-8分</w:t>
                  </w:r>
                </w:p>
              </w:tc>
              <w:tc>
                <w:tcPr>
                  <w:tcW w:w="451" w:type="dxa"/>
                  <w:tcBorders>
                    <w:top w:val="nil"/>
                    <w:left w:val="nil"/>
                    <w:bottom w:val="single" w:color="auto" w:sz="4" w:space="0"/>
                    <w:right w:val="single" w:color="auto" w:sz="4" w:space="0"/>
                  </w:tcBorders>
                  <w:shd w:val="clear" w:color="auto" w:fill="auto"/>
                  <w:vAlign w:val="center"/>
                </w:tcPr>
                <w:p w14:paraId="34EB3A24">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124AEF2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D287EB5">
              <w:tblPrEx>
                <w:tblCellMar>
                  <w:top w:w="0" w:type="dxa"/>
                  <w:left w:w="108" w:type="dxa"/>
                  <w:bottom w:w="0" w:type="dxa"/>
                  <w:right w:w="108" w:type="dxa"/>
                </w:tblCellMar>
              </w:tblPrEx>
              <w:trPr>
                <w:trHeight w:val="419" w:hRule="atLeast"/>
              </w:trPr>
              <w:tc>
                <w:tcPr>
                  <w:tcW w:w="609" w:type="dxa"/>
                  <w:vMerge w:val="continue"/>
                  <w:tcBorders>
                    <w:top w:val="nil"/>
                    <w:left w:val="single" w:color="auto" w:sz="4" w:space="0"/>
                    <w:bottom w:val="nil"/>
                    <w:right w:val="single" w:color="auto" w:sz="4" w:space="0"/>
                  </w:tcBorders>
                  <w:vAlign w:val="center"/>
                </w:tcPr>
                <w:p w14:paraId="1FA3F4F0">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nil"/>
                    <w:right w:val="single" w:color="auto" w:sz="4" w:space="0"/>
                  </w:tcBorders>
                  <w:vAlign w:val="center"/>
                </w:tcPr>
                <w:p w14:paraId="453710E1">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3BFA2CF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2、生长不良，叶色差的，扣1-5分</w:t>
                  </w:r>
                </w:p>
              </w:tc>
              <w:tc>
                <w:tcPr>
                  <w:tcW w:w="451" w:type="dxa"/>
                  <w:tcBorders>
                    <w:top w:val="nil"/>
                    <w:left w:val="nil"/>
                    <w:bottom w:val="single" w:color="auto" w:sz="4" w:space="0"/>
                    <w:right w:val="single" w:color="auto" w:sz="4" w:space="0"/>
                  </w:tcBorders>
                  <w:shd w:val="clear" w:color="auto" w:fill="auto"/>
                  <w:vAlign w:val="center"/>
                </w:tcPr>
                <w:p w14:paraId="5F815910">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2D6DB48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22DCB11">
              <w:tblPrEx>
                <w:tblCellMar>
                  <w:top w:w="0" w:type="dxa"/>
                  <w:left w:w="108" w:type="dxa"/>
                  <w:bottom w:w="0" w:type="dxa"/>
                  <w:right w:w="108" w:type="dxa"/>
                </w:tblCellMar>
              </w:tblPrEx>
              <w:trPr>
                <w:trHeight w:val="419" w:hRule="atLeast"/>
              </w:trPr>
              <w:tc>
                <w:tcPr>
                  <w:tcW w:w="609" w:type="dxa"/>
                  <w:vMerge w:val="continue"/>
                  <w:tcBorders>
                    <w:top w:val="nil"/>
                    <w:left w:val="single" w:color="auto" w:sz="4" w:space="0"/>
                    <w:bottom w:val="nil"/>
                    <w:right w:val="single" w:color="auto" w:sz="4" w:space="0"/>
                  </w:tcBorders>
                  <w:vAlign w:val="center"/>
                </w:tcPr>
                <w:p w14:paraId="7C97B37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nil"/>
                    <w:right w:val="single" w:color="auto" w:sz="4" w:space="0"/>
                  </w:tcBorders>
                  <w:vAlign w:val="center"/>
                </w:tcPr>
                <w:p w14:paraId="32A3A535">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7B6B0439">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3、欠缺修剪，起伏较明显，扣1-5分</w:t>
                  </w:r>
                </w:p>
              </w:tc>
              <w:tc>
                <w:tcPr>
                  <w:tcW w:w="451" w:type="dxa"/>
                  <w:tcBorders>
                    <w:top w:val="nil"/>
                    <w:left w:val="nil"/>
                    <w:bottom w:val="single" w:color="auto" w:sz="4" w:space="0"/>
                    <w:right w:val="single" w:color="auto" w:sz="4" w:space="0"/>
                  </w:tcBorders>
                  <w:shd w:val="clear" w:color="auto" w:fill="auto"/>
                  <w:vAlign w:val="center"/>
                </w:tcPr>
                <w:p w14:paraId="3FB653FE">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29A908B1">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DFD487E">
              <w:tblPrEx>
                <w:tblCellMar>
                  <w:top w:w="0" w:type="dxa"/>
                  <w:left w:w="108" w:type="dxa"/>
                  <w:bottom w:w="0" w:type="dxa"/>
                  <w:right w:w="108" w:type="dxa"/>
                </w:tblCellMar>
              </w:tblPrEx>
              <w:trPr>
                <w:trHeight w:val="419" w:hRule="atLeast"/>
              </w:trPr>
              <w:tc>
                <w:tcPr>
                  <w:tcW w:w="609" w:type="dxa"/>
                  <w:vMerge w:val="continue"/>
                  <w:tcBorders>
                    <w:top w:val="nil"/>
                    <w:left w:val="single" w:color="auto" w:sz="4" w:space="0"/>
                    <w:bottom w:val="nil"/>
                    <w:right w:val="single" w:color="auto" w:sz="4" w:space="0"/>
                  </w:tcBorders>
                  <w:vAlign w:val="center"/>
                </w:tcPr>
                <w:p w14:paraId="18CD9CF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nil"/>
                    <w:right w:val="single" w:color="auto" w:sz="4" w:space="0"/>
                  </w:tcBorders>
                  <w:vAlign w:val="center"/>
                </w:tcPr>
                <w:p w14:paraId="3110624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192B562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4、杂草控制不适当，有明显大型或缠绕性、攀援性杂草，影响景观的，扣1-5分</w:t>
                  </w:r>
                </w:p>
              </w:tc>
              <w:tc>
                <w:tcPr>
                  <w:tcW w:w="451" w:type="dxa"/>
                  <w:tcBorders>
                    <w:top w:val="nil"/>
                    <w:left w:val="nil"/>
                    <w:bottom w:val="single" w:color="auto" w:sz="4" w:space="0"/>
                    <w:right w:val="single" w:color="auto" w:sz="4" w:space="0"/>
                  </w:tcBorders>
                  <w:shd w:val="clear" w:color="auto" w:fill="auto"/>
                  <w:vAlign w:val="center"/>
                </w:tcPr>
                <w:p w14:paraId="53442C4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3C1D7F3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FAECD52">
              <w:tblPrEx>
                <w:tblCellMar>
                  <w:top w:w="0" w:type="dxa"/>
                  <w:left w:w="108" w:type="dxa"/>
                  <w:bottom w:w="0" w:type="dxa"/>
                  <w:right w:w="108" w:type="dxa"/>
                </w:tblCellMar>
              </w:tblPrEx>
              <w:trPr>
                <w:trHeight w:val="419" w:hRule="atLeast"/>
              </w:trPr>
              <w:tc>
                <w:tcPr>
                  <w:tcW w:w="609" w:type="dxa"/>
                  <w:vMerge w:val="continue"/>
                  <w:tcBorders>
                    <w:top w:val="nil"/>
                    <w:left w:val="single" w:color="auto" w:sz="4" w:space="0"/>
                    <w:bottom w:val="nil"/>
                    <w:right w:val="single" w:color="auto" w:sz="4" w:space="0"/>
                  </w:tcBorders>
                  <w:vAlign w:val="center"/>
                </w:tcPr>
                <w:p w14:paraId="557AD57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nil"/>
                    <w:right w:val="single" w:color="auto" w:sz="4" w:space="0"/>
                  </w:tcBorders>
                  <w:vAlign w:val="center"/>
                </w:tcPr>
                <w:p w14:paraId="139F975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7D0BF58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5、立地有积水货涝浸现象的，每处扣2分</w:t>
                  </w:r>
                </w:p>
              </w:tc>
              <w:tc>
                <w:tcPr>
                  <w:tcW w:w="451" w:type="dxa"/>
                  <w:tcBorders>
                    <w:top w:val="nil"/>
                    <w:left w:val="nil"/>
                    <w:bottom w:val="single" w:color="auto" w:sz="4" w:space="0"/>
                    <w:right w:val="single" w:color="auto" w:sz="4" w:space="0"/>
                  </w:tcBorders>
                  <w:shd w:val="clear" w:color="auto" w:fill="auto"/>
                  <w:vAlign w:val="center"/>
                </w:tcPr>
                <w:p w14:paraId="5AC2FA14">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1789046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7E254F4">
              <w:tblPrEx>
                <w:tblCellMar>
                  <w:top w:w="0" w:type="dxa"/>
                  <w:left w:w="108" w:type="dxa"/>
                  <w:bottom w:w="0" w:type="dxa"/>
                  <w:right w:w="108" w:type="dxa"/>
                </w:tblCellMar>
              </w:tblPrEx>
              <w:trPr>
                <w:trHeight w:val="419" w:hRule="atLeast"/>
              </w:trPr>
              <w:tc>
                <w:tcPr>
                  <w:tcW w:w="609" w:type="dxa"/>
                  <w:vMerge w:val="continue"/>
                  <w:tcBorders>
                    <w:top w:val="nil"/>
                    <w:left w:val="single" w:color="auto" w:sz="4" w:space="0"/>
                    <w:bottom w:val="nil"/>
                    <w:right w:val="single" w:color="auto" w:sz="4" w:space="0"/>
                  </w:tcBorders>
                  <w:vAlign w:val="center"/>
                </w:tcPr>
                <w:p w14:paraId="3F106C5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nil"/>
                    <w:right w:val="single" w:color="auto" w:sz="4" w:space="0"/>
                  </w:tcBorders>
                  <w:vAlign w:val="center"/>
                </w:tcPr>
                <w:p w14:paraId="5B1B0E17">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160E435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6、病虫害明显的，扣1-3分</w:t>
                  </w:r>
                </w:p>
              </w:tc>
              <w:tc>
                <w:tcPr>
                  <w:tcW w:w="451" w:type="dxa"/>
                  <w:tcBorders>
                    <w:top w:val="nil"/>
                    <w:left w:val="nil"/>
                    <w:bottom w:val="single" w:color="auto" w:sz="4" w:space="0"/>
                    <w:right w:val="single" w:color="auto" w:sz="4" w:space="0"/>
                  </w:tcBorders>
                  <w:shd w:val="clear" w:color="auto" w:fill="auto"/>
                  <w:vAlign w:val="center"/>
                </w:tcPr>
                <w:p w14:paraId="45C01494">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050D667A">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B18A62E">
              <w:tblPrEx>
                <w:tblCellMar>
                  <w:top w:w="0" w:type="dxa"/>
                  <w:left w:w="108" w:type="dxa"/>
                  <w:bottom w:w="0" w:type="dxa"/>
                  <w:right w:w="108" w:type="dxa"/>
                </w:tblCellMar>
              </w:tblPrEx>
              <w:trPr>
                <w:trHeight w:val="419" w:hRule="atLeast"/>
              </w:trPr>
              <w:tc>
                <w:tcPr>
                  <w:tcW w:w="609" w:type="dxa"/>
                  <w:vMerge w:val="continue"/>
                  <w:tcBorders>
                    <w:top w:val="nil"/>
                    <w:left w:val="single" w:color="auto" w:sz="4" w:space="0"/>
                    <w:bottom w:val="nil"/>
                    <w:right w:val="single" w:color="auto" w:sz="4" w:space="0"/>
                  </w:tcBorders>
                  <w:vAlign w:val="center"/>
                </w:tcPr>
                <w:p w14:paraId="335786E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6151" w:type="dxa"/>
                  <w:gridSpan w:val="7"/>
                  <w:tcBorders>
                    <w:top w:val="single" w:color="auto" w:sz="4" w:space="0"/>
                    <w:left w:val="nil"/>
                    <w:bottom w:val="single" w:color="auto" w:sz="4" w:space="0"/>
                    <w:right w:val="single" w:color="auto" w:sz="4" w:space="0"/>
                  </w:tcBorders>
                  <w:shd w:val="clear" w:color="auto" w:fill="auto"/>
                  <w:vAlign w:val="center"/>
                </w:tcPr>
                <w:p w14:paraId="1DB67AB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四、清洁卫生（20分）</w:t>
                  </w:r>
                </w:p>
              </w:tc>
            </w:tr>
            <w:tr w14:paraId="54043E07">
              <w:tblPrEx>
                <w:tblCellMar>
                  <w:top w:w="0" w:type="dxa"/>
                  <w:left w:w="108" w:type="dxa"/>
                  <w:bottom w:w="0" w:type="dxa"/>
                  <w:right w:w="108" w:type="dxa"/>
                </w:tblCellMar>
              </w:tblPrEx>
              <w:trPr>
                <w:trHeight w:val="741" w:hRule="atLeast"/>
              </w:trPr>
              <w:tc>
                <w:tcPr>
                  <w:tcW w:w="609" w:type="dxa"/>
                  <w:vMerge w:val="continue"/>
                  <w:tcBorders>
                    <w:top w:val="nil"/>
                    <w:left w:val="single" w:color="auto" w:sz="4" w:space="0"/>
                    <w:bottom w:val="nil"/>
                    <w:right w:val="single" w:color="auto" w:sz="4" w:space="0"/>
                  </w:tcBorders>
                  <w:vAlign w:val="center"/>
                </w:tcPr>
                <w:p w14:paraId="758D3601">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restart"/>
                  <w:tcBorders>
                    <w:top w:val="nil"/>
                    <w:left w:val="single" w:color="auto" w:sz="4" w:space="0"/>
                    <w:bottom w:val="nil"/>
                    <w:right w:val="single" w:color="auto" w:sz="4" w:space="0"/>
                  </w:tcBorders>
                  <w:shd w:val="clear" w:color="auto" w:fill="auto"/>
                  <w:vAlign w:val="center"/>
                </w:tcPr>
                <w:p w14:paraId="33FBB7A0">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无缺株和枯死株，植株长势良好，无缺水缺肥现象，修剪适当，植株基本保持造型，无明显枯枝、杂物，无明显病虫害，立地土壤疏松，无杂草，无板结现象，无垃圾杂物，界线适当整理，竹林过密应适当间伐或间株，使竹林通风透光，留竹分布均匀，生长健壮</w:t>
                  </w: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6729C664">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1、发现管理地段有余泥、砖石、瓦渣、每宗扣2分</w:t>
                  </w:r>
                </w:p>
              </w:tc>
              <w:tc>
                <w:tcPr>
                  <w:tcW w:w="451" w:type="dxa"/>
                  <w:tcBorders>
                    <w:top w:val="nil"/>
                    <w:left w:val="nil"/>
                    <w:bottom w:val="single" w:color="auto" w:sz="4" w:space="0"/>
                    <w:right w:val="single" w:color="auto" w:sz="4" w:space="0"/>
                  </w:tcBorders>
                  <w:shd w:val="clear" w:color="auto" w:fill="auto"/>
                  <w:vAlign w:val="center"/>
                </w:tcPr>
                <w:p w14:paraId="233E1075">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633B53CA">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655CE60">
              <w:tblPrEx>
                <w:tblCellMar>
                  <w:top w:w="0" w:type="dxa"/>
                  <w:left w:w="108" w:type="dxa"/>
                  <w:bottom w:w="0" w:type="dxa"/>
                  <w:right w:w="108" w:type="dxa"/>
                </w:tblCellMar>
              </w:tblPrEx>
              <w:trPr>
                <w:trHeight w:val="741" w:hRule="atLeast"/>
              </w:trPr>
              <w:tc>
                <w:tcPr>
                  <w:tcW w:w="609" w:type="dxa"/>
                  <w:vMerge w:val="continue"/>
                  <w:tcBorders>
                    <w:top w:val="nil"/>
                    <w:left w:val="single" w:color="auto" w:sz="4" w:space="0"/>
                    <w:bottom w:val="nil"/>
                    <w:right w:val="single" w:color="auto" w:sz="4" w:space="0"/>
                  </w:tcBorders>
                  <w:vAlign w:val="center"/>
                </w:tcPr>
                <w:p w14:paraId="7C3EC93A">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nil"/>
                    <w:right w:val="single" w:color="auto" w:sz="4" w:space="0"/>
                  </w:tcBorders>
                  <w:vAlign w:val="center"/>
                </w:tcPr>
                <w:p w14:paraId="2DFBAD4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2830D02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2、管理地段有垃圾5件（含5件）以上，或枯枝干叶明显，影响景观的，每宗扣2分</w:t>
                  </w:r>
                </w:p>
              </w:tc>
              <w:tc>
                <w:tcPr>
                  <w:tcW w:w="451" w:type="dxa"/>
                  <w:tcBorders>
                    <w:top w:val="nil"/>
                    <w:left w:val="nil"/>
                    <w:bottom w:val="single" w:color="auto" w:sz="4" w:space="0"/>
                    <w:right w:val="single" w:color="auto" w:sz="4" w:space="0"/>
                  </w:tcBorders>
                  <w:shd w:val="clear" w:color="auto" w:fill="auto"/>
                  <w:vAlign w:val="center"/>
                </w:tcPr>
                <w:p w14:paraId="17298FA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75E2E2D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12AFC44">
              <w:tblPrEx>
                <w:tblCellMar>
                  <w:top w:w="0" w:type="dxa"/>
                  <w:left w:w="108" w:type="dxa"/>
                  <w:bottom w:w="0" w:type="dxa"/>
                  <w:right w:w="108" w:type="dxa"/>
                </w:tblCellMar>
              </w:tblPrEx>
              <w:trPr>
                <w:trHeight w:val="741" w:hRule="atLeast"/>
              </w:trPr>
              <w:tc>
                <w:tcPr>
                  <w:tcW w:w="609" w:type="dxa"/>
                  <w:vMerge w:val="continue"/>
                  <w:tcBorders>
                    <w:top w:val="nil"/>
                    <w:left w:val="single" w:color="auto" w:sz="4" w:space="0"/>
                    <w:bottom w:val="nil"/>
                    <w:right w:val="single" w:color="auto" w:sz="4" w:space="0"/>
                  </w:tcBorders>
                  <w:vAlign w:val="center"/>
                </w:tcPr>
                <w:p w14:paraId="73DD79D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nil"/>
                    <w:right w:val="single" w:color="auto" w:sz="4" w:space="0"/>
                  </w:tcBorders>
                  <w:vAlign w:val="center"/>
                </w:tcPr>
                <w:p w14:paraId="61EA9CF7">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000000" w:sz="4" w:space="0"/>
                  </w:tcBorders>
                  <w:shd w:val="clear" w:color="auto" w:fill="auto"/>
                  <w:vAlign w:val="center"/>
                </w:tcPr>
                <w:p w14:paraId="7199BBD1">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3、用铁线围边的，每宗扣1分</w:t>
                  </w:r>
                </w:p>
              </w:tc>
              <w:tc>
                <w:tcPr>
                  <w:tcW w:w="451" w:type="dxa"/>
                  <w:tcBorders>
                    <w:top w:val="nil"/>
                    <w:left w:val="nil"/>
                    <w:bottom w:val="single" w:color="auto" w:sz="4" w:space="0"/>
                    <w:right w:val="single" w:color="auto" w:sz="4" w:space="0"/>
                  </w:tcBorders>
                  <w:shd w:val="clear" w:color="auto" w:fill="auto"/>
                  <w:vAlign w:val="center"/>
                </w:tcPr>
                <w:p w14:paraId="63D9387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2C088A67">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BB73AF5">
              <w:tblPrEx>
                <w:tblCellMar>
                  <w:top w:w="0" w:type="dxa"/>
                  <w:left w:w="108" w:type="dxa"/>
                  <w:bottom w:w="0" w:type="dxa"/>
                  <w:right w:w="108" w:type="dxa"/>
                </w:tblCellMar>
              </w:tblPrEx>
              <w:trPr>
                <w:trHeight w:val="741" w:hRule="atLeast"/>
              </w:trPr>
              <w:tc>
                <w:tcPr>
                  <w:tcW w:w="609" w:type="dxa"/>
                  <w:vMerge w:val="continue"/>
                  <w:tcBorders>
                    <w:top w:val="nil"/>
                    <w:left w:val="single" w:color="auto" w:sz="4" w:space="0"/>
                    <w:bottom w:val="nil"/>
                    <w:right w:val="single" w:color="auto" w:sz="4" w:space="0"/>
                  </w:tcBorders>
                  <w:vAlign w:val="center"/>
                </w:tcPr>
                <w:p w14:paraId="35EEA75A">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nil"/>
                    <w:right w:val="single" w:color="auto" w:sz="4" w:space="0"/>
                  </w:tcBorders>
                  <w:vAlign w:val="center"/>
                </w:tcPr>
                <w:p w14:paraId="2239B4E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14:paraId="4E2328B7">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4、有鼠洞或蚊蝇滋生的，每处扣1分</w:t>
                  </w:r>
                </w:p>
              </w:tc>
              <w:tc>
                <w:tcPr>
                  <w:tcW w:w="451" w:type="dxa"/>
                  <w:tcBorders>
                    <w:top w:val="nil"/>
                    <w:left w:val="nil"/>
                    <w:bottom w:val="single" w:color="auto" w:sz="4" w:space="0"/>
                    <w:right w:val="single" w:color="auto" w:sz="4" w:space="0"/>
                  </w:tcBorders>
                  <w:shd w:val="clear" w:color="auto" w:fill="auto"/>
                  <w:vAlign w:val="center"/>
                </w:tcPr>
                <w:p w14:paraId="6887AA69">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single" w:color="auto" w:sz="4" w:space="0"/>
                    <w:right w:val="single" w:color="auto" w:sz="4" w:space="0"/>
                  </w:tcBorders>
                  <w:shd w:val="clear" w:color="auto" w:fill="auto"/>
                  <w:vAlign w:val="center"/>
                </w:tcPr>
                <w:p w14:paraId="12F5584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E24626B">
              <w:tblPrEx>
                <w:tblCellMar>
                  <w:top w:w="0" w:type="dxa"/>
                  <w:left w:w="108" w:type="dxa"/>
                  <w:bottom w:w="0" w:type="dxa"/>
                  <w:right w:w="108" w:type="dxa"/>
                </w:tblCellMar>
              </w:tblPrEx>
              <w:trPr>
                <w:trHeight w:val="741" w:hRule="atLeast"/>
              </w:trPr>
              <w:tc>
                <w:tcPr>
                  <w:tcW w:w="609" w:type="dxa"/>
                  <w:vMerge w:val="continue"/>
                  <w:tcBorders>
                    <w:top w:val="nil"/>
                    <w:left w:val="single" w:color="auto" w:sz="4" w:space="0"/>
                    <w:bottom w:val="nil"/>
                    <w:right w:val="single" w:color="auto" w:sz="4" w:space="0"/>
                  </w:tcBorders>
                  <w:vAlign w:val="center"/>
                </w:tcPr>
                <w:p w14:paraId="0D0788C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877" w:type="dxa"/>
                  <w:gridSpan w:val="2"/>
                  <w:vMerge w:val="continue"/>
                  <w:tcBorders>
                    <w:top w:val="nil"/>
                    <w:left w:val="single" w:color="auto" w:sz="4" w:space="0"/>
                    <w:bottom w:val="nil"/>
                    <w:right w:val="single" w:color="auto" w:sz="4" w:space="0"/>
                  </w:tcBorders>
                  <w:vAlign w:val="center"/>
                </w:tcPr>
                <w:p w14:paraId="5C6C3FB4">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566" w:type="dxa"/>
                  <w:gridSpan w:val="3"/>
                  <w:tcBorders>
                    <w:top w:val="single" w:color="auto" w:sz="4" w:space="0"/>
                    <w:left w:val="nil"/>
                    <w:bottom w:val="nil"/>
                    <w:right w:val="single" w:color="auto" w:sz="4" w:space="0"/>
                  </w:tcBorders>
                  <w:shd w:val="clear" w:color="auto" w:fill="auto"/>
                  <w:vAlign w:val="center"/>
                </w:tcPr>
                <w:p w14:paraId="61B4079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5、水面需保持清洁，无杂物，无臭味，达不到要求，视情况扣1-8分</w:t>
                  </w:r>
                </w:p>
              </w:tc>
              <w:tc>
                <w:tcPr>
                  <w:tcW w:w="451" w:type="dxa"/>
                  <w:tcBorders>
                    <w:top w:val="nil"/>
                    <w:left w:val="nil"/>
                    <w:bottom w:val="nil"/>
                    <w:right w:val="single" w:color="auto" w:sz="4" w:space="0"/>
                  </w:tcBorders>
                  <w:shd w:val="clear" w:color="auto" w:fill="auto"/>
                  <w:vAlign w:val="center"/>
                </w:tcPr>
                <w:p w14:paraId="3224246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nil"/>
                    <w:left w:val="nil"/>
                    <w:bottom w:val="nil"/>
                    <w:right w:val="single" w:color="auto" w:sz="4" w:space="0"/>
                  </w:tcBorders>
                  <w:shd w:val="clear" w:color="auto" w:fill="auto"/>
                  <w:vAlign w:val="center"/>
                </w:tcPr>
                <w:p w14:paraId="1079FFC4">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D45B0D7">
              <w:tblPrEx>
                <w:tblCellMar>
                  <w:top w:w="0" w:type="dxa"/>
                  <w:left w:w="108" w:type="dxa"/>
                  <w:bottom w:w="0" w:type="dxa"/>
                  <w:right w:w="108" w:type="dxa"/>
                </w:tblCellMar>
              </w:tblPrEx>
              <w:trPr>
                <w:trHeight w:val="449" w:hRule="atLeast"/>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03BA5B4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合计总分</w:t>
                  </w:r>
                </w:p>
              </w:tc>
              <w:tc>
                <w:tcPr>
                  <w:tcW w:w="4894" w:type="dxa"/>
                  <w:gridSpan w:val="6"/>
                  <w:tcBorders>
                    <w:top w:val="single" w:color="auto" w:sz="4" w:space="0"/>
                    <w:left w:val="nil"/>
                    <w:bottom w:val="single" w:color="auto" w:sz="4" w:space="0"/>
                    <w:right w:val="single" w:color="auto" w:sz="4" w:space="0"/>
                  </w:tcBorders>
                  <w:shd w:val="clear" w:color="auto" w:fill="auto"/>
                  <w:vAlign w:val="center"/>
                </w:tcPr>
                <w:p w14:paraId="05D39CA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257" w:type="dxa"/>
                  <w:tcBorders>
                    <w:top w:val="single" w:color="auto" w:sz="4" w:space="0"/>
                    <w:left w:val="nil"/>
                    <w:bottom w:val="single" w:color="auto" w:sz="4" w:space="0"/>
                    <w:right w:val="single" w:color="auto" w:sz="4" w:space="0"/>
                  </w:tcBorders>
                  <w:shd w:val="clear" w:color="auto" w:fill="auto"/>
                  <w:vAlign w:val="center"/>
                </w:tcPr>
                <w:p w14:paraId="3F2ED93A">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06B1070A">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80F736E">
              <w:tblPrEx>
                <w:tblCellMar>
                  <w:top w:w="0" w:type="dxa"/>
                  <w:left w:w="108" w:type="dxa"/>
                  <w:bottom w:w="0" w:type="dxa"/>
                  <w:right w:w="108" w:type="dxa"/>
                </w:tblCellMar>
              </w:tblPrEx>
              <w:trPr>
                <w:trHeight w:val="449" w:hRule="atLeast"/>
              </w:trPr>
              <w:tc>
                <w:tcPr>
                  <w:tcW w:w="609" w:type="dxa"/>
                  <w:tcBorders>
                    <w:top w:val="nil"/>
                    <w:left w:val="single" w:color="auto" w:sz="4" w:space="0"/>
                    <w:bottom w:val="single" w:color="auto" w:sz="4" w:space="0"/>
                    <w:right w:val="single" w:color="auto" w:sz="4" w:space="0"/>
                  </w:tcBorders>
                  <w:shd w:val="clear" w:color="auto" w:fill="auto"/>
                  <w:vAlign w:val="center"/>
                </w:tcPr>
                <w:p w14:paraId="370481FE">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考核得分</w:t>
                  </w:r>
                </w:p>
              </w:tc>
              <w:tc>
                <w:tcPr>
                  <w:tcW w:w="2061" w:type="dxa"/>
                  <w:gridSpan w:val="3"/>
                  <w:tcBorders>
                    <w:top w:val="single" w:color="auto" w:sz="4" w:space="0"/>
                    <w:left w:val="nil"/>
                    <w:bottom w:val="single" w:color="auto" w:sz="4" w:space="0"/>
                    <w:right w:val="single" w:color="auto" w:sz="4" w:space="0"/>
                  </w:tcBorders>
                  <w:shd w:val="clear" w:color="auto" w:fill="auto"/>
                  <w:vAlign w:val="center"/>
                </w:tcPr>
                <w:p w14:paraId="1B60DBB4">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86" w:type="dxa"/>
                  <w:tcBorders>
                    <w:top w:val="nil"/>
                    <w:left w:val="nil"/>
                    <w:bottom w:val="single" w:color="auto" w:sz="4" w:space="0"/>
                    <w:right w:val="single" w:color="auto" w:sz="4" w:space="0"/>
                  </w:tcBorders>
                  <w:shd w:val="clear" w:color="auto" w:fill="auto"/>
                  <w:vAlign w:val="center"/>
                </w:tcPr>
                <w:p w14:paraId="17FE3FD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考核结果</w:t>
                  </w:r>
                </w:p>
              </w:tc>
              <w:tc>
                <w:tcPr>
                  <w:tcW w:w="3404" w:type="dxa"/>
                  <w:gridSpan w:val="3"/>
                  <w:tcBorders>
                    <w:top w:val="single" w:color="auto" w:sz="4" w:space="0"/>
                    <w:left w:val="nil"/>
                    <w:bottom w:val="single" w:color="auto" w:sz="4" w:space="0"/>
                    <w:right w:val="single" w:color="auto" w:sz="4" w:space="0"/>
                  </w:tcBorders>
                  <w:shd w:val="clear" w:color="auto" w:fill="auto"/>
                  <w:vAlign w:val="center"/>
                </w:tcPr>
                <w:p w14:paraId="795D964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14D66A2">
              <w:tblPrEx>
                <w:tblCellMar>
                  <w:top w:w="0" w:type="dxa"/>
                  <w:left w:w="108" w:type="dxa"/>
                  <w:bottom w:w="0" w:type="dxa"/>
                  <w:right w:w="108" w:type="dxa"/>
                </w:tblCellMar>
              </w:tblPrEx>
              <w:trPr>
                <w:trHeight w:val="719" w:hRule="atLeast"/>
              </w:trPr>
              <w:tc>
                <w:tcPr>
                  <w:tcW w:w="609" w:type="dxa"/>
                  <w:tcBorders>
                    <w:top w:val="nil"/>
                    <w:left w:val="single" w:color="auto" w:sz="4" w:space="0"/>
                    <w:bottom w:val="single" w:color="auto" w:sz="4" w:space="0"/>
                    <w:right w:val="single" w:color="auto" w:sz="4" w:space="0"/>
                  </w:tcBorders>
                  <w:shd w:val="clear" w:color="auto" w:fill="auto"/>
                  <w:vAlign w:val="center"/>
                </w:tcPr>
                <w:p w14:paraId="6FED576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分级指标</w:t>
                  </w:r>
                </w:p>
              </w:tc>
              <w:tc>
                <w:tcPr>
                  <w:tcW w:w="6151" w:type="dxa"/>
                  <w:gridSpan w:val="7"/>
                  <w:tcBorders>
                    <w:top w:val="single" w:color="auto" w:sz="4" w:space="0"/>
                    <w:left w:val="nil"/>
                    <w:bottom w:val="single" w:color="auto" w:sz="4" w:space="0"/>
                    <w:right w:val="single" w:color="auto" w:sz="4" w:space="0"/>
                  </w:tcBorders>
                  <w:shd w:val="clear" w:color="auto" w:fill="auto"/>
                  <w:vAlign w:val="center"/>
                </w:tcPr>
                <w:p w14:paraId="148C149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公园检查点的确定：每10000平方米设一个检查点：每个检查点面积1000-2000平方米，按</w:t>
                  </w:r>
                  <w:r>
                    <w:rPr>
                      <w:rFonts w:hint="eastAsia" w:ascii="宋体" w:hAnsi="宋体" w:eastAsia="宋体" w:cs="宋体"/>
                      <w:color w:val="auto"/>
                      <w:sz w:val="21"/>
                      <w:szCs w:val="21"/>
                      <w:highlight w:val="none"/>
                      <w:lang w:val="en-US" w:eastAsia="zh-CN"/>
                    </w:rPr>
                    <w:t>合同内管养标准进行评分</w:t>
                  </w:r>
                  <w:r>
                    <w:rPr>
                      <w:rFonts w:hint="eastAsia" w:ascii="宋体" w:hAnsi="宋体" w:eastAsia="宋体" w:cs="宋体"/>
                      <w:color w:val="auto"/>
                      <w:sz w:val="21"/>
                      <w:szCs w:val="21"/>
                      <w:highlight w:val="none"/>
                    </w:rPr>
                    <w:t>，满分100分，综合得分在85分以上为合格，低于85分（含85）分为不合格</w:t>
                  </w:r>
                  <w:r>
                    <w:rPr>
                      <w:rFonts w:hint="eastAsia" w:ascii="宋体" w:hAnsi="宋体" w:eastAsia="宋体" w:cs="宋体"/>
                      <w:color w:val="auto"/>
                      <w:sz w:val="21"/>
                      <w:szCs w:val="21"/>
                      <w:highlight w:val="none"/>
                      <w:lang w:eastAsia="zh-CN"/>
                    </w:rPr>
                    <w:t>。</w:t>
                  </w:r>
                </w:p>
              </w:tc>
            </w:tr>
            <w:tr w14:paraId="39BF1A3D">
              <w:tblPrEx>
                <w:tblCellMar>
                  <w:top w:w="0" w:type="dxa"/>
                  <w:left w:w="108" w:type="dxa"/>
                  <w:bottom w:w="0" w:type="dxa"/>
                  <w:right w:w="108" w:type="dxa"/>
                </w:tblCellMar>
              </w:tblPrEx>
              <w:trPr>
                <w:trHeight w:val="449" w:hRule="atLeast"/>
              </w:trPr>
              <w:tc>
                <w:tcPr>
                  <w:tcW w:w="609" w:type="dxa"/>
                  <w:tcBorders>
                    <w:top w:val="nil"/>
                    <w:left w:val="single" w:color="auto" w:sz="4" w:space="0"/>
                    <w:bottom w:val="single" w:color="auto" w:sz="4" w:space="0"/>
                    <w:right w:val="single" w:color="auto" w:sz="4" w:space="0"/>
                  </w:tcBorders>
                  <w:shd w:val="clear" w:color="auto" w:fill="auto"/>
                  <w:vAlign w:val="center"/>
                </w:tcPr>
                <w:p w14:paraId="6EFA3BE5">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考核范围</w:t>
                  </w:r>
                </w:p>
              </w:tc>
              <w:tc>
                <w:tcPr>
                  <w:tcW w:w="6151" w:type="dxa"/>
                  <w:gridSpan w:val="7"/>
                  <w:tcBorders>
                    <w:top w:val="single" w:color="auto" w:sz="4" w:space="0"/>
                    <w:left w:val="nil"/>
                    <w:bottom w:val="single" w:color="auto" w:sz="4" w:space="0"/>
                    <w:right w:val="single" w:color="auto" w:sz="4" w:space="0"/>
                  </w:tcBorders>
                  <w:shd w:val="clear" w:color="auto" w:fill="auto"/>
                  <w:vAlign w:val="center"/>
                </w:tcPr>
                <w:p w14:paraId="7929C5B5">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203C59F">
              <w:tblPrEx>
                <w:tblCellMar>
                  <w:top w:w="0" w:type="dxa"/>
                  <w:left w:w="108" w:type="dxa"/>
                  <w:bottom w:w="0" w:type="dxa"/>
                  <w:right w:w="108" w:type="dxa"/>
                </w:tblCellMar>
              </w:tblPrEx>
              <w:trPr>
                <w:trHeight w:val="449" w:hRule="atLeast"/>
              </w:trPr>
              <w:tc>
                <w:tcPr>
                  <w:tcW w:w="20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06900A">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自评等级</w:t>
                  </w:r>
                </w:p>
              </w:tc>
              <w:tc>
                <w:tcPr>
                  <w:tcW w:w="3004" w:type="dxa"/>
                  <w:gridSpan w:val="4"/>
                  <w:tcBorders>
                    <w:top w:val="single" w:color="auto" w:sz="4" w:space="0"/>
                    <w:left w:val="nil"/>
                    <w:bottom w:val="single" w:color="auto" w:sz="4" w:space="0"/>
                    <w:right w:val="single" w:color="auto" w:sz="4" w:space="0"/>
                  </w:tcBorders>
                  <w:shd w:val="clear" w:color="auto" w:fill="auto"/>
                  <w:vAlign w:val="center"/>
                </w:tcPr>
                <w:p w14:paraId="5F52300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考核组复评等级</w:t>
                  </w:r>
                </w:p>
              </w:tc>
              <w:tc>
                <w:tcPr>
                  <w:tcW w:w="1708" w:type="dxa"/>
                  <w:gridSpan w:val="2"/>
                  <w:tcBorders>
                    <w:top w:val="single" w:color="auto" w:sz="4" w:space="0"/>
                    <w:left w:val="nil"/>
                    <w:bottom w:val="single" w:color="auto" w:sz="4" w:space="0"/>
                    <w:right w:val="single" w:color="auto" w:sz="4" w:space="0"/>
                  </w:tcBorders>
                  <w:shd w:val="clear" w:color="auto" w:fill="auto"/>
                  <w:vAlign w:val="center"/>
                </w:tcPr>
                <w:p w14:paraId="509445C1">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审核等级</w:t>
                  </w:r>
                </w:p>
              </w:tc>
            </w:tr>
            <w:tr w14:paraId="1C2941D0">
              <w:tblPrEx>
                <w:tblCellMar>
                  <w:top w:w="0" w:type="dxa"/>
                  <w:left w:w="108" w:type="dxa"/>
                  <w:bottom w:w="0" w:type="dxa"/>
                  <w:right w:w="108" w:type="dxa"/>
                </w:tblCellMar>
              </w:tblPrEx>
              <w:trPr>
                <w:trHeight w:val="449" w:hRule="atLeast"/>
              </w:trPr>
              <w:tc>
                <w:tcPr>
                  <w:tcW w:w="2048" w:type="dxa"/>
                  <w:gridSpan w:val="2"/>
                  <w:tcBorders>
                    <w:top w:val="single" w:color="auto" w:sz="4" w:space="0"/>
                    <w:left w:val="single" w:color="auto" w:sz="4" w:space="0"/>
                    <w:bottom w:val="single" w:color="auto" w:sz="4" w:space="0"/>
                    <w:right w:val="single" w:color="auto" w:sz="4" w:space="0"/>
                  </w:tcBorders>
                  <w:shd w:val="clear" w:color="auto" w:fill="auto"/>
                </w:tcPr>
                <w:p w14:paraId="4102F3C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p>
              </w:tc>
              <w:tc>
                <w:tcPr>
                  <w:tcW w:w="3004" w:type="dxa"/>
                  <w:gridSpan w:val="4"/>
                  <w:tcBorders>
                    <w:top w:val="single" w:color="auto" w:sz="4" w:space="0"/>
                    <w:left w:val="single" w:color="auto" w:sz="4" w:space="0"/>
                    <w:bottom w:val="single" w:color="auto" w:sz="4" w:space="0"/>
                    <w:right w:val="single" w:color="auto" w:sz="4" w:space="0"/>
                  </w:tcBorders>
                  <w:shd w:val="clear" w:color="auto" w:fill="auto"/>
                </w:tcPr>
                <w:p w14:paraId="565C6D99">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考核组人员：</w:t>
                  </w:r>
                </w:p>
              </w:tc>
              <w:tc>
                <w:tcPr>
                  <w:tcW w:w="1708" w:type="dxa"/>
                  <w:gridSpan w:val="2"/>
                  <w:tcBorders>
                    <w:top w:val="single" w:color="auto" w:sz="4" w:space="0"/>
                    <w:left w:val="single" w:color="auto" w:sz="4" w:space="0"/>
                    <w:bottom w:val="single" w:color="auto" w:sz="4" w:space="0"/>
                    <w:right w:val="single" w:color="000000" w:sz="4" w:space="0"/>
                  </w:tcBorders>
                  <w:shd w:val="clear" w:color="auto" w:fill="auto"/>
                </w:tcPr>
                <w:p w14:paraId="5BD12055">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负责人：</w:t>
                  </w:r>
                </w:p>
              </w:tc>
            </w:tr>
            <w:tr w14:paraId="1FA1264A">
              <w:tblPrEx>
                <w:tblCellMar>
                  <w:top w:w="0" w:type="dxa"/>
                  <w:left w:w="108" w:type="dxa"/>
                  <w:bottom w:w="0" w:type="dxa"/>
                  <w:right w:w="108" w:type="dxa"/>
                </w:tblCellMar>
              </w:tblPrEx>
              <w:trPr>
                <w:trHeight w:val="449" w:hRule="atLeast"/>
              </w:trPr>
              <w:tc>
                <w:tcPr>
                  <w:tcW w:w="2048" w:type="dxa"/>
                  <w:gridSpan w:val="2"/>
                  <w:tcBorders>
                    <w:top w:val="single" w:color="auto" w:sz="4" w:space="0"/>
                    <w:left w:val="single" w:color="auto" w:sz="4" w:space="0"/>
                    <w:bottom w:val="single" w:color="auto" w:sz="4" w:space="0"/>
                    <w:right w:val="single" w:color="auto" w:sz="4" w:space="0"/>
                  </w:tcBorders>
                  <w:shd w:val="clear" w:color="auto" w:fill="auto"/>
                </w:tcPr>
                <w:p w14:paraId="600ECC84">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lang w:eastAsia="zh-CN"/>
                    </w:rPr>
                    <w:t>：</w:t>
                  </w:r>
                </w:p>
              </w:tc>
              <w:tc>
                <w:tcPr>
                  <w:tcW w:w="3455" w:type="dxa"/>
                  <w:gridSpan w:val="5"/>
                  <w:vMerge w:val="restart"/>
                  <w:tcBorders>
                    <w:top w:val="single" w:color="auto" w:sz="4" w:space="0"/>
                    <w:left w:val="single" w:color="auto" w:sz="4" w:space="0"/>
                    <w:bottom w:val="single" w:color="auto" w:sz="4" w:space="0"/>
                    <w:right w:val="single" w:color="auto" w:sz="4" w:space="0"/>
                  </w:tcBorders>
                  <w:shd w:val="clear" w:color="auto" w:fill="auto"/>
                </w:tcPr>
                <w:p w14:paraId="68E638F9">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tc>
              <w:tc>
                <w:tcPr>
                  <w:tcW w:w="1257" w:type="dxa"/>
                  <w:tcBorders>
                    <w:top w:val="single" w:color="auto" w:sz="4" w:space="0"/>
                    <w:left w:val="single" w:color="auto" w:sz="4" w:space="0"/>
                    <w:bottom w:val="single" w:color="auto" w:sz="4" w:space="0"/>
                    <w:right w:val="single" w:color="000000" w:sz="4" w:space="0"/>
                  </w:tcBorders>
                  <w:shd w:val="clear" w:color="auto" w:fill="auto"/>
                </w:tcPr>
                <w:p w14:paraId="018DD57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r>
            <w:tr w14:paraId="47582662">
              <w:tblPrEx>
                <w:tblCellMar>
                  <w:top w:w="0" w:type="dxa"/>
                  <w:left w:w="108" w:type="dxa"/>
                  <w:bottom w:w="0" w:type="dxa"/>
                  <w:right w:w="108" w:type="dxa"/>
                </w:tblCellMar>
              </w:tblPrEx>
              <w:trPr>
                <w:trHeight w:val="449" w:hRule="atLeast"/>
              </w:trPr>
              <w:tc>
                <w:tcPr>
                  <w:tcW w:w="2048" w:type="dxa"/>
                  <w:gridSpan w:val="2"/>
                  <w:tcBorders>
                    <w:top w:val="single" w:color="auto" w:sz="4" w:space="0"/>
                    <w:left w:val="single" w:color="auto" w:sz="4" w:space="0"/>
                    <w:bottom w:val="single" w:color="auto" w:sz="4" w:space="0"/>
                    <w:right w:val="single" w:color="auto" w:sz="4" w:space="0"/>
                  </w:tcBorders>
                  <w:shd w:val="clear" w:color="auto" w:fill="auto"/>
                </w:tcPr>
                <w:p w14:paraId="47938D15">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eastAsia="zh-CN"/>
                    </w:rPr>
                    <w:t>：</w:t>
                  </w:r>
                </w:p>
              </w:tc>
              <w:tc>
                <w:tcPr>
                  <w:tcW w:w="3455" w:type="dxa"/>
                  <w:gridSpan w:val="5"/>
                  <w:vMerge w:val="continue"/>
                  <w:tcBorders>
                    <w:top w:val="single" w:color="auto" w:sz="4" w:space="0"/>
                    <w:left w:val="single" w:color="auto" w:sz="4" w:space="0"/>
                    <w:bottom w:val="single" w:color="auto" w:sz="4" w:space="0"/>
                    <w:right w:val="single" w:color="auto" w:sz="4" w:space="0"/>
                  </w:tcBorders>
                  <w:shd w:val="clear" w:color="auto" w:fill="auto"/>
                </w:tcPr>
                <w:p w14:paraId="4F8E167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257" w:type="dxa"/>
                  <w:tcBorders>
                    <w:top w:val="single" w:color="auto" w:sz="4" w:space="0"/>
                    <w:left w:val="single" w:color="auto" w:sz="4" w:space="0"/>
                    <w:bottom w:val="single" w:color="auto" w:sz="4" w:space="0"/>
                    <w:right w:val="single" w:color="000000" w:sz="4" w:space="0"/>
                  </w:tcBorders>
                  <w:shd w:val="clear" w:color="auto" w:fill="auto"/>
                </w:tcPr>
                <w:p w14:paraId="1F07EA1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tc>
            </w:tr>
          </w:tbl>
          <w:p w14:paraId="3083495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2025-2028阜沙镇市政绿化管养项目</w:t>
            </w:r>
            <w:r>
              <w:rPr>
                <w:rFonts w:hint="eastAsia" w:ascii="宋体" w:hAnsi="宋体" w:eastAsia="宋体" w:cs="宋体"/>
                <w:color w:val="auto"/>
                <w:sz w:val="21"/>
                <w:szCs w:val="21"/>
                <w:highlight w:val="none"/>
              </w:rPr>
              <w:t>考核评分季度汇总表</w:t>
            </w:r>
          </w:p>
          <w:tbl>
            <w:tblPr>
              <w:tblStyle w:val="10"/>
              <w:tblW w:w="6740" w:type="dxa"/>
              <w:tblInd w:w="93" w:type="dxa"/>
              <w:tblLayout w:type="autofit"/>
              <w:tblCellMar>
                <w:top w:w="0" w:type="dxa"/>
                <w:left w:w="108" w:type="dxa"/>
                <w:bottom w:w="0" w:type="dxa"/>
                <w:right w:w="108" w:type="dxa"/>
              </w:tblCellMar>
            </w:tblPr>
            <w:tblGrid>
              <w:gridCol w:w="1100"/>
              <w:gridCol w:w="780"/>
              <w:gridCol w:w="435"/>
              <w:gridCol w:w="715"/>
              <w:gridCol w:w="716"/>
              <w:gridCol w:w="1296"/>
              <w:gridCol w:w="1698"/>
            </w:tblGrid>
            <w:tr w14:paraId="64E06502">
              <w:tblPrEx>
                <w:tblCellMar>
                  <w:top w:w="0" w:type="dxa"/>
                  <w:left w:w="108" w:type="dxa"/>
                  <w:bottom w:w="0" w:type="dxa"/>
                  <w:right w:w="108" w:type="dxa"/>
                </w:tblCellMar>
              </w:tblPrEx>
              <w:trPr>
                <w:trHeight w:val="719" w:hRule="atLeast"/>
              </w:trPr>
              <w:tc>
                <w:tcPr>
                  <w:tcW w:w="6740" w:type="dxa"/>
                  <w:gridSpan w:val="7"/>
                  <w:tcBorders>
                    <w:top w:val="single" w:color="auto" w:sz="4" w:space="0"/>
                    <w:left w:val="single" w:color="auto" w:sz="4" w:space="0"/>
                    <w:bottom w:val="nil"/>
                    <w:right w:val="single" w:color="auto" w:sz="4" w:space="0"/>
                  </w:tcBorders>
                  <w:shd w:val="clear" w:color="auto" w:fill="auto"/>
                  <w:vAlign w:val="center"/>
                </w:tcPr>
                <w:p w14:paraId="3FEAAFFD">
                  <w:pPr>
                    <w:pageBreakBefore w:val="0"/>
                    <w:kinsoku/>
                    <w:wordWrap/>
                    <w:overflowPunct/>
                    <w:topLinePunct w:val="0"/>
                    <w:bidi w:val="0"/>
                    <w:spacing w:line="360" w:lineRule="auto"/>
                    <w:jc w:val="center"/>
                    <w:textAlignment w:val="auto"/>
                    <w:rPr>
                      <w:rFonts w:hint="eastAsia" w:ascii="宋体" w:hAnsi="宋体" w:eastAsia="宋体" w:cs="宋体"/>
                      <w:b/>
                      <w:bCs/>
                      <w:color w:val="auto"/>
                      <w:sz w:val="21"/>
                      <w:szCs w:val="21"/>
                      <w:highlight w:val="none"/>
                    </w:rPr>
                  </w:pPr>
                  <w:bookmarkStart w:id="0" w:name="_7.1_Permission_Setup"/>
                  <w:bookmarkEnd w:id="0"/>
                  <w:bookmarkStart w:id="1" w:name="_Access_Admin_Permission"/>
                  <w:bookmarkEnd w:id="1"/>
                  <w:bookmarkStart w:id="2" w:name="_Access_User_Setup"/>
                  <w:bookmarkEnd w:id="2"/>
                  <w:bookmarkStart w:id="3" w:name="_19.1__Access_Document_Permission_Se"/>
                  <w:bookmarkEnd w:id="3"/>
                  <w:r>
                    <w:rPr>
                      <w:rFonts w:hint="eastAsia" w:ascii="宋体" w:hAnsi="宋体" w:eastAsia="宋体" w:cs="宋体"/>
                      <w:b/>
                      <w:bCs/>
                      <w:color w:val="auto"/>
                      <w:sz w:val="21"/>
                      <w:szCs w:val="21"/>
                      <w:highlight w:val="none"/>
                      <w:lang w:eastAsia="zh-CN"/>
                    </w:rPr>
                    <w:t>2025-2028阜沙镇市政绿化管养项目</w:t>
                  </w:r>
                </w:p>
                <w:p w14:paraId="76612A2D">
                  <w:pPr>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考核评分季度汇总表</w:t>
                  </w:r>
                </w:p>
              </w:tc>
            </w:tr>
            <w:tr w14:paraId="5FB62BFC">
              <w:tblPrEx>
                <w:tblCellMar>
                  <w:top w:w="0" w:type="dxa"/>
                  <w:left w:w="108" w:type="dxa"/>
                  <w:bottom w:w="0" w:type="dxa"/>
                  <w:right w:w="108" w:type="dxa"/>
                </w:tblCellMar>
              </w:tblPrEx>
              <w:trPr>
                <w:trHeight w:val="572"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0D94E920">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w:t>
                  </w:r>
                </w:p>
              </w:tc>
              <w:tc>
                <w:tcPr>
                  <w:tcW w:w="5640" w:type="dxa"/>
                  <w:gridSpan w:val="6"/>
                  <w:tcBorders>
                    <w:top w:val="single" w:color="auto" w:sz="4" w:space="0"/>
                    <w:left w:val="nil"/>
                    <w:bottom w:val="single" w:color="auto" w:sz="4" w:space="0"/>
                    <w:right w:val="single" w:color="auto" w:sz="4" w:space="0"/>
                  </w:tcBorders>
                  <w:shd w:val="clear" w:color="auto" w:fill="auto"/>
                  <w:vAlign w:val="center"/>
                </w:tcPr>
                <w:p w14:paraId="45E5FD0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2025-2028阜沙镇市政绿化管养项目</w:t>
                  </w:r>
                  <w:r>
                    <w:rPr>
                      <w:rFonts w:hint="eastAsia" w:ascii="宋体" w:hAnsi="宋体" w:eastAsia="宋体" w:cs="宋体"/>
                      <w:color w:val="auto"/>
                      <w:sz w:val="21"/>
                      <w:szCs w:val="21"/>
                      <w:highlight w:val="none"/>
                    </w:rPr>
                    <w:t xml:space="preserve"> </w:t>
                  </w:r>
                </w:p>
              </w:tc>
            </w:tr>
            <w:tr w14:paraId="6A021777">
              <w:tblPrEx>
                <w:tblCellMar>
                  <w:top w:w="0" w:type="dxa"/>
                  <w:left w:w="108" w:type="dxa"/>
                  <w:bottom w:w="0" w:type="dxa"/>
                  <w:right w:w="108" w:type="dxa"/>
                </w:tblCellMar>
              </w:tblPrEx>
              <w:trPr>
                <w:trHeight w:val="610"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287E203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工程地点</w:t>
                  </w:r>
                </w:p>
              </w:tc>
              <w:tc>
                <w:tcPr>
                  <w:tcW w:w="5640" w:type="dxa"/>
                  <w:gridSpan w:val="6"/>
                  <w:tcBorders>
                    <w:top w:val="single" w:color="auto" w:sz="4" w:space="0"/>
                    <w:left w:val="nil"/>
                    <w:bottom w:val="single" w:color="auto" w:sz="4" w:space="0"/>
                    <w:right w:val="single" w:color="auto" w:sz="4" w:space="0"/>
                  </w:tcBorders>
                  <w:shd w:val="clear" w:color="auto" w:fill="auto"/>
                  <w:vAlign w:val="center"/>
                </w:tcPr>
                <w:p w14:paraId="56A05DC1">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中山市阜沙镇</w:t>
                  </w:r>
                </w:p>
              </w:tc>
            </w:tr>
            <w:tr w14:paraId="6C8ED9ED">
              <w:tblPrEx>
                <w:tblCellMar>
                  <w:top w:w="0" w:type="dxa"/>
                  <w:left w:w="108" w:type="dxa"/>
                  <w:bottom w:w="0" w:type="dxa"/>
                  <w:right w:w="108" w:type="dxa"/>
                </w:tblCellMar>
              </w:tblPrEx>
              <w:trPr>
                <w:trHeight w:val="597"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0ECE4C9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采购人</w:t>
                  </w:r>
                </w:p>
              </w:tc>
              <w:tc>
                <w:tcPr>
                  <w:tcW w:w="5640" w:type="dxa"/>
                  <w:gridSpan w:val="6"/>
                  <w:tcBorders>
                    <w:top w:val="single" w:color="auto" w:sz="4" w:space="0"/>
                    <w:left w:val="nil"/>
                    <w:bottom w:val="single" w:color="auto" w:sz="4" w:space="0"/>
                    <w:right w:val="single" w:color="auto" w:sz="4" w:space="0"/>
                  </w:tcBorders>
                  <w:shd w:val="clear" w:color="auto" w:fill="auto"/>
                  <w:vAlign w:val="center"/>
                </w:tcPr>
                <w:p w14:paraId="0D0481E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中山市阜沙镇城市建设和管理局</w:t>
                  </w:r>
                </w:p>
              </w:tc>
            </w:tr>
            <w:tr w14:paraId="594422D7">
              <w:tblPrEx>
                <w:tblCellMar>
                  <w:top w:w="0" w:type="dxa"/>
                  <w:left w:w="108" w:type="dxa"/>
                  <w:bottom w:w="0" w:type="dxa"/>
                  <w:right w:w="108" w:type="dxa"/>
                </w:tblCellMar>
              </w:tblPrEx>
              <w:trPr>
                <w:trHeight w:val="584"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7ADF08CE">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季度</w:t>
                  </w:r>
                </w:p>
              </w:tc>
              <w:tc>
                <w:tcPr>
                  <w:tcW w:w="2646" w:type="dxa"/>
                  <w:gridSpan w:val="4"/>
                  <w:tcBorders>
                    <w:top w:val="single" w:color="auto" w:sz="4" w:space="0"/>
                    <w:left w:val="nil"/>
                    <w:bottom w:val="single" w:color="auto" w:sz="4" w:space="0"/>
                    <w:right w:val="single" w:color="auto" w:sz="4" w:space="0"/>
                  </w:tcBorders>
                  <w:shd w:val="clear" w:color="auto" w:fill="auto"/>
                  <w:vAlign w:val="center"/>
                </w:tcPr>
                <w:p w14:paraId="13DAF8F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     季度</w:t>
                  </w:r>
                </w:p>
              </w:tc>
              <w:tc>
                <w:tcPr>
                  <w:tcW w:w="1296" w:type="dxa"/>
                  <w:tcBorders>
                    <w:top w:val="nil"/>
                    <w:left w:val="nil"/>
                    <w:bottom w:val="single" w:color="auto" w:sz="4" w:space="0"/>
                    <w:right w:val="single" w:color="auto" w:sz="4" w:space="0"/>
                  </w:tcBorders>
                  <w:shd w:val="clear" w:color="auto" w:fill="auto"/>
                  <w:vAlign w:val="center"/>
                </w:tcPr>
                <w:p w14:paraId="4DF80965">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tc>
              <w:tc>
                <w:tcPr>
                  <w:tcW w:w="1698" w:type="dxa"/>
                  <w:tcBorders>
                    <w:top w:val="single" w:color="auto" w:sz="4" w:space="0"/>
                    <w:left w:val="nil"/>
                    <w:bottom w:val="single" w:color="auto" w:sz="4" w:space="0"/>
                    <w:right w:val="single" w:color="auto" w:sz="4" w:space="0"/>
                  </w:tcBorders>
                  <w:shd w:val="clear" w:color="auto" w:fill="auto"/>
                  <w:vAlign w:val="center"/>
                </w:tcPr>
                <w:p w14:paraId="7B4A4F0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108F5A3">
              <w:tblPrEx>
                <w:tblCellMar>
                  <w:top w:w="0" w:type="dxa"/>
                  <w:left w:w="108" w:type="dxa"/>
                  <w:bottom w:w="0" w:type="dxa"/>
                  <w:right w:w="108" w:type="dxa"/>
                </w:tblCellMar>
              </w:tblPrEx>
              <w:trPr>
                <w:trHeight w:val="647" w:hRule="atLeast"/>
              </w:trPr>
              <w:tc>
                <w:tcPr>
                  <w:tcW w:w="1100" w:type="dxa"/>
                  <w:tcBorders>
                    <w:top w:val="single" w:color="auto" w:sz="4" w:space="0"/>
                    <w:left w:val="single" w:color="auto" w:sz="4" w:space="0"/>
                    <w:bottom w:val="single" w:color="auto" w:sz="4" w:space="0"/>
                    <w:right w:val="single" w:color="000000" w:sz="4" w:space="0"/>
                  </w:tcBorders>
                  <w:shd w:val="clear" w:color="auto" w:fill="auto"/>
                  <w:vAlign w:val="center"/>
                </w:tcPr>
                <w:p w14:paraId="2900CAD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30" w:type="dxa"/>
                  <w:gridSpan w:val="3"/>
                  <w:tcBorders>
                    <w:top w:val="single" w:color="auto" w:sz="4" w:space="0"/>
                    <w:left w:val="nil"/>
                    <w:bottom w:val="single" w:color="auto" w:sz="4" w:space="0"/>
                    <w:right w:val="single" w:color="auto" w:sz="4" w:space="0"/>
                  </w:tcBorders>
                  <w:shd w:val="clear" w:color="auto" w:fill="auto"/>
                  <w:vAlign w:val="center"/>
                </w:tcPr>
                <w:p w14:paraId="635AAA67">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考核评定</w:t>
                  </w:r>
                  <w:r>
                    <w:rPr>
                      <w:rFonts w:hint="eastAsia" w:ascii="宋体" w:hAnsi="宋体" w:eastAsia="宋体" w:cs="宋体"/>
                      <w:color w:val="auto"/>
                      <w:sz w:val="21"/>
                      <w:szCs w:val="21"/>
                      <w:highlight w:val="none"/>
                      <w:lang w:val="en-US" w:eastAsia="zh-CN"/>
                    </w:rPr>
                    <w:t>内容</w:t>
                  </w:r>
                </w:p>
              </w:tc>
              <w:tc>
                <w:tcPr>
                  <w:tcW w:w="716" w:type="dxa"/>
                  <w:tcBorders>
                    <w:top w:val="nil"/>
                    <w:left w:val="nil"/>
                    <w:bottom w:val="single" w:color="auto" w:sz="4" w:space="0"/>
                    <w:right w:val="single" w:color="auto" w:sz="4" w:space="0"/>
                  </w:tcBorders>
                  <w:shd w:val="clear" w:color="auto" w:fill="auto"/>
                  <w:vAlign w:val="center"/>
                </w:tcPr>
                <w:p w14:paraId="2122C4A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考核得分</w:t>
                  </w:r>
                </w:p>
              </w:tc>
              <w:tc>
                <w:tcPr>
                  <w:tcW w:w="2994" w:type="dxa"/>
                  <w:gridSpan w:val="2"/>
                  <w:tcBorders>
                    <w:top w:val="single" w:color="auto" w:sz="4" w:space="0"/>
                    <w:left w:val="nil"/>
                    <w:bottom w:val="single" w:color="auto" w:sz="4" w:space="0"/>
                    <w:right w:val="single" w:color="auto" w:sz="4" w:space="0"/>
                  </w:tcBorders>
                  <w:shd w:val="clear" w:color="auto" w:fill="auto"/>
                  <w:vAlign w:val="center"/>
                </w:tcPr>
                <w:p w14:paraId="35A1E5F4">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评定意见</w:t>
                  </w:r>
                </w:p>
              </w:tc>
            </w:tr>
            <w:tr w14:paraId="0E30B638">
              <w:tblPrEx>
                <w:tblCellMar>
                  <w:top w:w="0" w:type="dxa"/>
                  <w:left w:w="108" w:type="dxa"/>
                  <w:bottom w:w="0" w:type="dxa"/>
                  <w:right w:w="108" w:type="dxa"/>
                </w:tblCellMar>
              </w:tblPrEx>
              <w:trPr>
                <w:trHeight w:val="1547"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2E5E2A8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30" w:type="dxa"/>
                  <w:gridSpan w:val="3"/>
                  <w:tcBorders>
                    <w:top w:val="nil"/>
                    <w:left w:val="single" w:color="auto" w:sz="4" w:space="0"/>
                    <w:right w:val="single" w:color="auto" w:sz="4" w:space="0"/>
                  </w:tcBorders>
                  <w:shd w:val="clear" w:color="auto" w:fill="auto"/>
                  <w:vAlign w:val="center"/>
                </w:tcPr>
                <w:p w14:paraId="148E032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公园、公共绿地</w:t>
                  </w:r>
                </w:p>
              </w:tc>
              <w:tc>
                <w:tcPr>
                  <w:tcW w:w="716" w:type="dxa"/>
                  <w:tcBorders>
                    <w:top w:val="nil"/>
                    <w:left w:val="nil"/>
                    <w:right w:val="single" w:color="auto" w:sz="4" w:space="0"/>
                  </w:tcBorders>
                  <w:shd w:val="clear" w:color="auto" w:fill="auto"/>
                  <w:vAlign w:val="center"/>
                </w:tcPr>
                <w:p w14:paraId="7200BD2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994" w:type="dxa"/>
                  <w:gridSpan w:val="2"/>
                  <w:tcBorders>
                    <w:top w:val="nil"/>
                    <w:left w:val="nil"/>
                    <w:bottom w:val="single" w:color="auto" w:sz="4" w:space="0"/>
                    <w:right w:val="single" w:color="auto" w:sz="4" w:space="0"/>
                  </w:tcBorders>
                  <w:shd w:val="clear" w:color="auto" w:fill="auto"/>
                  <w:vAlign w:val="center"/>
                </w:tcPr>
                <w:p w14:paraId="6897DB70">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r>
            <w:tr w14:paraId="611478A2">
              <w:tblPrEx>
                <w:tblCellMar>
                  <w:top w:w="0" w:type="dxa"/>
                  <w:left w:w="108" w:type="dxa"/>
                  <w:bottom w:w="0" w:type="dxa"/>
                  <w:right w:w="108" w:type="dxa"/>
                </w:tblCellMar>
              </w:tblPrEx>
              <w:trPr>
                <w:trHeight w:val="509" w:hRule="atLeast"/>
              </w:trPr>
              <w:tc>
                <w:tcPr>
                  <w:tcW w:w="30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3359AC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单项合计（</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rPr>
                    <w:t>）</w:t>
                  </w:r>
                </w:p>
              </w:tc>
              <w:tc>
                <w:tcPr>
                  <w:tcW w:w="3710" w:type="dxa"/>
                  <w:gridSpan w:val="3"/>
                  <w:tcBorders>
                    <w:top w:val="single" w:color="auto" w:sz="4" w:space="0"/>
                    <w:left w:val="nil"/>
                    <w:bottom w:val="single" w:color="auto" w:sz="4" w:space="0"/>
                    <w:right w:val="single" w:color="auto" w:sz="4" w:space="0"/>
                  </w:tcBorders>
                  <w:shd w:val="clear" w:color="auto" w:fill="auto"/>
                  <w:vAlign w:val="center"/>
                </w:tcPr>
                <w:p w14:paraId="29733C43">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r>
            <w:tr w14:paraId="314BC005">
              <w:tblPrEx>
                <w:tblCellMar>
                  <w:top w:w="0" w:type="dxa"/>
                  <w:left w:w="108" w:type="dxa"/>
                  <w:bottom w:w="0" w:type="dxa"/>
                  <w:right w:w="108" w:type="dxa"/>
                </w:tblCellMar>
              </w:tblPrEx>
              <w:trPr>
                <w:trHeight w:val="1547"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47AB40E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30" w:type="dxa"/>
                  <w:gridSpan w:val="3"/>
                  <w:tcBorders>
                    <w:top w:val="nil"/>
                    <w:left w:val="single" w:color="auto" w:sz="4" w:space="0"/>
                    <w:bottom w:val="single" w:color="auto" w:sz="4" w:space="0"/>
                    <w:right w:val="single" w:color="auto" w:sz="4" w:space="0"/>
                  </w:tcBorders>
                  <w:shd w:val="clear" w:color="auto" w:fill="auto"/>
                  <w:vAlign w:val="center"/>
                </w:tcPr>
                <w:p w14:paraId="719C0DA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道路行道树</w:t>
                  </w:r>
                </w:p>
              </w:tc>
              <w:tc>
                <w:tcPr>
                  <w:tcW w:w="716" w:type="dxa"/>
                  <w:tcBorders>
                    <w:top w:val="nil"/>
                    <w:left w:val="nil"/>
                    <w:right w:val="single" w:color="auto" w:sz="4" w:space="0"/>
                  </w:tcBorders>
                  <w:shd w:val="clear" w:color="auto" w:fill="auto"/>
                  <w:vAlign w:val="center"/>
                </w:tcPr>
                <w:p w14:paraId="1D26E356">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2994" w:type="dxa"/>
                  <w:gridSpan w:val="2"/>
                  <w:tcBorders>
                    <w:top w:val="nil"/>
                    <w:left w:val="nil"/>
                    <w:bottom w:val="single" w:color="auto" w:sz="4" w:space="0"/>
                    <w:right w:val="single" w:color="auto" w:sz="4" w:space="0"/>
                  </w:tcBorders>
                  <w:shd w:val="clear" w:color="auto" w:fill="auto"/>
                  <w:vAlign w:val="center"/>
                </w:tcPr>
                <w:p w14:paraId="31FF0F85">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r>
            <w:tr w14:paraId="4EF8CC2E">
              <w:tblPrEx>
                <w:tblCellMar>
                  <w:top w:w="0" w:type="dxa"/>
                  <w:left w:w="108" w:type="dxa"/>
                  <w:bottom w:w="0" w:type="dxa"/>
                  <w:right w:w="108" w:type="dxa"/>
                </w:tblCellMar>
              </w:tblPrEx>
              <w:trPr>
                <w:trHeight w:val="509" w:hRule="atLeast"/>
              </w:trPr>
              <w:tc>
                <w:tcPr>
                  <w:tcW w:w="30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7E5BCA">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单项合计（B）</w:t>
                  </w:r>
                </w:p>
              </w:tc>
              <w:tc>
                <w:tcPr>
                  <w:tcW w:w="3710" w:type="dxa"/>
                  <w:gridSpan w:val="3"/>
                  <w:tcBorders>
                    <w:top w:val="single" w:color="auto" w:sz="4" w:space="0"/>
                    <w:left w:val="nil"/>
                    <w:bottom w:val="single" w:color="auto" w:sz="4" w:space="0"/>
                    <w:right w:val="single" w:color="auto" w:sz="4" w:space="0"/>
                  </w:tcBorders>
                  <w:shd w:val="clear" w:color="auto" w:fill="auto"/>
                  <w:vAlign w:val="center"/>
                </w:tcPr>
                <w:p w14:paraId="7BAB629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8983AC3">
              <w:tblPrEx>
                <w:tblCellMar>
                  <w:top w:w="0" w:type="dxa"/>
                  <w:left w:w="108" w:type="dxa"/>
                  <w:bottom w:w="0" w:type="dxa"/>
                  <w:right w:w="108" w:type="dxa"/>
                </w:tblCellMar>
              </w:tblPrEx>
              <w:trPr>
                <w:trHeight w:val="509"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56E9188D">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总合计</w:t>
                  </w:r>
                </w:p>
              </w:tc>
              <w:tc>
                <w:tcPr>
                  <w:tcW w:w="5640" w:type="dxa"/>
                  <w:gridSpan w:val="6"/>
                  <w:tcBorders>
                    <w:top w:val="single" w:color="auto" w:sz="4" w:space="0"/>
                    <w:left w:val="nil"/>
                    <w:bottom w:val="single" w:color="auto" w:sz="4" w:space="0"/>
                    <w:right w:val="single" w:color="auto" w:sz="4" w:space="0"/>
                  </w:tcBorders>
                  <w:shd w:val="clear" w:color="auto" w:fill="auto"/>
                  <w:vAlign w:val="center"/>
                </w:tcPr>
                <w:p w14:paraId="2E9A8AED">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w:t>
                  </w:r>
                </w:p>
              </w:tc>
            </w:tr>
            <w:tr w14:paraId="34A61A12">
              <w:tblPrEx>
                <w:tblCellMar>
                  <w:top w:w="0" w:type="dxa"/>
                  <w:left w:w="108" w:type="dxa"/>
                  <w:bottom w:w="0" w:type="dxa"/>
                  <w:right w:w="108" w:type="dxa"/>
                </w:tblCellMar>
              </w:tblPrEx>
              <w:trPr>
                <w:trHeight w:val="509"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07A68F61">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综合得分</w:t>
                  </w:r>
                </w:p>
              </w:tc>
              <w:tc>
                <w:tcPr>
                  <w:tcW w:w="5640" w:type="dxa"/>
                  <w:gridSpan w:val="6"/>
                  <w:tcBorders>
                    <w:top w:val="single" w:color="auto" w:sz="4" w:space="0"/>
                    <w:left w:val="nil"/>
                    <w:bottom w:val="single" w:color="auto" w:sz="4" w:space="0"/>
                    <w:right w:val="single" w:color="auto" w:sz="4" w:space="0"/>
                  </w:tcBorders>
                  <w:shd w:val="clear" w:color="auto" w:fill="auto"/>
                  <w:vAlign w:val="center"/>
                </w:tcPr>
                <w:p w14:paraId="6283A814">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(A+B)/</w:t>
                  </w:r>
                  <w:r>
                    <w:rPr>
                      <w:rFonts w:hint="eastAsia" w:ascii="宋体" w:hAnsi="宋体" w:eastAsia="宋体" w:cs="宋体"/>
                      <w:color w:val="auto"/>
                      <w:sz w:val="21"/>
                      <w:szCs w:val="21"/>
                      <w:highlight w:val="none"/>
                      <w:lang w:val="en-US" w:eastAsia="zh-CN"/>
                    </w:rPr>
                    <w:t>2</w:t>
                  </w:r>
                </w:p>
              </w:tc>
            </w:tr>
            <w:tr w14:paraId="01FB9080">
              <w:tblPrEx>
                <w:tblCellMar>
                  <w:top w:w="0" w:type="dxa"/>
                  <w:left w:w="108" w:type="dxa"/>
                  <w:bottom w:w="0" w:type="dxa"/>
                  <w:right w:w="108" w:type="dxa"/>
                </w:tblCellMar>
              </w:tblPrEx>
              <w:trPr>
                <w:trHeight w:val="509" w:hRule="atLeast"/>
              </w:trPr>
              <w:tc>
                <w:tcPr>
                  <w:tcW w:w="1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16560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自评等级</w:t>
                  </w:r>
                </w:p>
              </w:tc>
              <w:tc>
                <w:tcPr>
                  <w:tcW w:w="435" w:type="dxa"/>
                  <w:tcBorders>
                    <w:top w:val="nil"/>
                    <w:left w:val="nil"/>
                    <w:bottom w:val="single" w:color="auto" w:sz="4" w:space="0"/>
                    <w:right w:val="single" w:color="auto" w:sz="4" w:space="0"/>
                  </w:tcBorders>
                  <w:shd w:val="clear" w:color="auto" w:fill="auto"/>
                  <w:vAlign w:val="center"/>
                </w:tcPr>
                <w:p w14:paraId="134F96B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2727" w:type="dxa"/>
                  <w:gridSpan w:val="3"/>
                  <w:tcBorders>
                    <w:top w:val="single" w:color="auto" w:sz="4" w:space="0"/>
                    <w:left w:val="nil"/>
                    <w:bottom w:val="single" w:color="auto" w:sz="4" w:space="0"/>
                    <w:right w:val="single" w:color="auto" w:sz="4" w:space="0"/>
                  </w:tcBorders>
                  <w:shd w:val="clear" w:color="auto" w:fill="auto"/>
                  <w:vAlign w:val="center"/>
                </w:tcPr>
                <w:p w14:paraId="1CEC5190">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考核组复评等级</w:t>
                  </w:r>
                </w:p>
              </w:tc>
              <w:tc>
                <w:tcPr>
                  <w:tcW w:w="1698" w:type="dxa"/>
                  <w:tcBorders>
                    <w:top w:val="single" w:color="auto" w:sz="4" w:space="0"/>
                    <w:left w:val="nil"/>
                    <w:bottom w:val="single" w:color="auto" w:sz="4" w:space="0"/>
                    <w:right w:val="single" w:color="auto" w:sz="4" w:space="0"/>
                  </w:tcBorders>
                  <w:shd w:val="clear" w:color="auto" w:fill="auto"/>
                  <w:vAlign w:val="center"/>
                </w:tcPr>
                <w:p w14:paraId="4EB2562D">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审核等级</w:t>
                  </w:r>
                </w:p>
              </w:tc>
            </w:tr>
            <w:tr w14:paraId="51DA2767">
              <w:tblPrEx>
                <w:tblCellMar>
                  <w:top w:w="0" w:type="dxa"/>
                  <w:left w:w="108" w:type="dxa"/>
                  <w:bottom w:w="0" w:type="dxa"/>
                  <w:right w:w="108" w:type="dxa"/>
                </w:tblCellMar>
              </w:tblPrEx>
              <w:trPr>
                <w:trHeight w:val="509" w:hRule="atLeast"/>
              </w:trPr>
              <w:tc>
                <w:tcPr>
                  <w:tcW w:w="1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37405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p>
              </w:tc>
              <w:tc>
                <w:tcPr>
                  <w:tcW w:w="435" w:type="dxa"/>
                  <w:tcBorders>
                    <w:top w:val="nil"/>
                    <w:left w:val="nil"/>
                    <w:bottom w:val="single" w:color="auto" w:sz="4" w:space="0"/>
                    <w:right w:val="single" w:color="auto" w:sz="4" w:space="0"/>
                  </w:tcBorders>
                  <w:shd w:val="clear" w:color="auto" w:fill="auto"/>
                </w:tcPr>
                <w:p w14:paraId="3F710A64">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2727" w:type="dxa"/>
                  <w:gridSpan w:val="3"/>
                  <w:tcBorders>
                    <w:top w:val="single" w:color="auto" w:sz="4" w:space="0"/>
                    <w:left w:val="nil"/>
                    <w:bottom w:val="single" w:color="auto" w:sz="4" w:space="0"/>
                    <w:right w:val="single" w:color="000000" w:sz="4" w:space="0"/>
                  </w:tcBorders>
                  <w:shd w:val="clear" w:color="auto" w:fill="auto"/>
                  <w:vAlign w:val="center"/>
                </w:tcPr>
                <w:p w14:paraId="3CE48BDF">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考核组人员：</w:t>
                  </w:r>
                </w:p>
              </w:tc>
              <w:tc>
                <w:tcPr>
                  <w:tcW w:w="1698" w:type="dxa"/>
                  <w:tcBorders>
                    <w:top w:val="single" w:color="auto" w:sz="4" w:space="0"/>
                    <w:left w:val="nil"/>
                    <w:bottom w:val="single" w:color="auto" w:sz="4" w:space="0"/>
                    <w:right w:val="single" w:color="auto" w:sz="4" w:space="0"/>
                  </w:tcBorders>
                  <w:shd w:val="clear" w:color="auto" w:fill="auto"/>
                  <w:vAlign w:val="center"/>
                </w:tcPr>
                <w:p w14:paraId="283746B7">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负责人：</w:t>
                  </w:r>
                </w:p>
              </w:tc>
            </w:tr>
            <w:tr w14:paraId="0627479E">
              <w:tblPrEx>
                <w:tblCellMar>
                  <w:top w:w="0" w:type="dxa"/>
                  <w:left w:w="108" w:type="dxa"/>
                  <w:bottom w:w="0" w:type="dxa"/>
                  <w:right w:w="108" w:type="dxa"/>
                </w:tblCellMar>
              </w:tblPrEx>
              <w:trPr>
                <w:trHeight w:val="509" w:hRule="atLeast"/>
              </w:trPr>
              <w:tc>
                <w:tcPr>
                  <w:tcW w:w="1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C7A14B">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lang w:eastAsia="zh-CN"/>
                    </w:rPr>
                    <w:t>：</w:t>
                  </w:r>
                </w:p>
              </w:tc>
              <w:tc>
                <w:tcPr>
                  <w:tcW w:w="435" w:type="dxa"/>
                  <w:tcBorders>
                    <w:top w:val="single" w:color="auto" w:sz="4" w:space="0"/>
                    <w:left w:val="single" w:color="auto" w:sz="4" w:space="0"/>
                    <w:bottom w:val="single" w:color="auto" w:sz="4" w:space="0"/>
                    <w:right w:val="single" w:color="auto" w:sz="4" w:space="0"/>
                  </w:tcBorders>
                  <w:shd w:val="clear" w:color="auto" w:fill="auto"/>
                </w:tcPr>
                <w:p w14:paraId="26C09D57">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2727" w:type="dxa"/>
                  <w:gridSpan w:val="3"/>
                  <w:vMerge w:val="restart"/>
                  <w:tcBorders>
                    <w:top w:val="single" w:color="auto" w:sz="4" w:space="0"/>
                    <w:left w:val="single" w:color="auto" w:sz="4" w:space="0"/>
                    <w:bottom w:val="single" w:color="auto" w:sz="4" w:space="0"/>
                    <w:right w:val="single" w:color="auto" w:sz="4" w:space="0"/>
                  </w:tcBorders>
                  <w:shd w:val="clear" w:color="auto" w:fill="auto"/>
                </w:tcPr>
                <w:p w14:paraId="45D9CFC8">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3C16DB37">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r>
            <w:tr w14:paraId="394AAA54">
              <w:tblPrEx>
                <w:tblCellMar>
                  <w:top w:w="0" w:type="dxa"/>
                  <w:left w:w="108" w:type="dxa"/>
                  <w:bottom w:w="0" w:type="dxa"/>
                  <w:right w:w="108" w:type="dxa"/>
                </w:tblCellMar>
              </w:tblPrEx>
              <w:trPr>
                <w:trHeight w:val="509" w:hRule="atLeast"/>
              </w:trPr>
              <w:tc>
                <w:tcPr>
                  <w:tcW w:w="1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0DB020">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eastAsia="zh-CN"/>
                    </w:rPr>
                    <w:t>：</w:t>
                  </w:r>
                </w:p>
              </w:tc>
              <w:tc>
                <w:tcPr>
                  <w:tcW w:w="435" w:type="dxa"/>
                  <w:tcBorders>
                    <w:top w:val="single" w:color="auto" w:sz="4" w:space="0"/>
                    <w:left w:val="single" w:color="auto" w:sz="4" w:space="0"/>
                    <w:bottom w:val="single" w:color="auto" w:sz="4" w:space="0"/>
                    <w:right w:val="single" w:color="auto" w:sz="4" w:space="0"/>
                  </w:tcBorders>
                  <w:shd w:val="clear" w:color="auto" w:fill="auto"/>
                </w:tcPr>
                <w:p w14:paraId="620095E1">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2727" w:type="dxa"/>
                  <w:gridSpan w:val="3"/>
                  <w:vMerge w:val="continue"/>
                  <w:tcBorders>
                    <w:top w:val="single" w:color="auto" w:sz="4" w:space="0"/>
                    <w:left w:val="single" w:color="auto" w:sz="4" w:space="0"/>
                    <w:bottom w:val="single" w:color="auto" w:sz="4" w:space="0"/>
                    <w:right w:val="single" w:color="auto" w:sz="4" w:space="0"/>
                  </w:tcBorders>
                  <w:vAlign w:val="center"/>
                </w:tcPr>
                <w:p w14:paraId="4675A6DC">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68F68082">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tc>
            </w:tr>
            <w:tr w14:paraId="0B6B00A7">
              <w:tblPrEx>
                <w:tblCellMar>
                  <w:top w:w="0" w:type="dxa"/>
                  <w:left w:w="108" w:type="dxa"/>
                  <w:bottom w:w="0" w:type="dxa"/>
                  <w:right w:w="108" w:type="dxa"/>
                </w:tblCellMar>
              </w:tblPrEx>
              <w:trPr>
                <w:trHeight w:val="318"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38FE6ED0">
                  <w:pPr>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56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1171D26">
                  <w:pPr>
                    <w:pageBreakBefore w:val="0"/>
                    <w:numPr>
                      <w:ilvl w:val="0"/>
                      <w:numId w:val="0"/>
                    </w:numPr>
                    <w:kinsoku/>
                    <w:wordWrap/>
                    <w:overflowPunct/>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每季度末（25日-31日）进行</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次考核评定，综合得分在85分以上为合格，低于85（含85分）为不合格</w:t>
                  </w:r>
                  <w:r>
                    <w:rPr>
                      <w:rFonts w:hint="eastAsia" w:ascii="宋体" w:hAnsi="宋体" w:eastAsia="宋体" w:cs="宋体"/>
                      <w:color w:val="auto"/>
                      <w:sz w:val="21"/>
                      <w:szCs w:val="21"/>
                      <w:highlight w:val="none"/>
                      <w:lang w:eastAsia="zh-CN"/>
                    </w:rPr>
                    <w:t>。</w:t>
                  </w:r>
                </w:p>
                <w:p w14:paraId="7974BAF9">
                  <w:pPr>
                    <w:pageBreakBefore w:val="0"/>
                    <w:numPr>
                      <w:ilvl w:val="0"/>
                      <w:numId w:val="0"/>
                    </w:numPr>
                    <w:kinsoku/>
                    <w:wordWrap/>
                    <w:overflowPunct/>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2.综合得分在85分-75（含75分）的需要进行整改，</w:t>
                  </w:r>
                  <w:r>
                    <w:rPr>
                      <w:rFonts w:hint="eastAsia" w:ascii="宋体" w:hAnsi="宋体" w:eastAsia="宋体" w:cs="宋体"/>
                      <w:color w:val="auto"/>
                      <w:sz w:val="21"/>
                      <w:szCs w:val="21"/>
                      <w:highlight w:val="none"/>
                    </w:rPr>
                    <w:t>整改复查合格后才能申请季度管养费</w:t>
                  </w:r>
                  <w:r>
                    <w:rPr>
                      <w:rFonts w:hint="eastAsia" w:ascii="宋体" w:hAnsi="宋体" w:eastAsia="宋体" w:cs="宋体"/>
                      <w:color w:val="auto"/>
                      <w:sz w:val="21"/>
                      <w:szCs w:val="21"/>
                      <w:highlight w:val="none"/>
                      <w:lang w:eastAsia="zh-CN"/>
                    </w:rPr>
                    <w:t>。</w:t>
                  </w:r>
                </w:p>
                <w:p w14:paraId="5C7DE82E">
                  <w:pPr>
                    <w:pageBreakBefore w:val="0"/>
                    <w:numPr>
                      <w:ilvl w:val="0"/>
                      <w:numId w:val="0"/>
                    </w:num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综合得分低于75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或连续两个季度低于80分的，视为</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违约，</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有权立即终止承包合同。</w:t>
                  </w:r>
                </w:p>
              </w:tc>
            </w:tr>
          </w:tbl>
          <w:p w14:paraId="6512F456">
            <w:pPr>
              <w:pStyle w:val="19"/>
              <w:jc w:val="both"/>
              <w:rPr>
                <w:rStyle w:val="14"/>
                <w:rFonts w:hint="eastAsia" w:ascii="宋体" w:hAnsi="宋体" w:eastAsia="宋体" w:cs="宋体"/>
                <w:color w:val="auto"/>
                <w:kern w:val="0"/>
                <w:sz w:val="20"/>
                <w:szCs w:val="20"/>
                <w:highlight w:val="none"/>
                <w:lang w:eastAsia="zh-CN"/>
              </w:rPr>
            </w:pPr>
          </w:p>
        </w:tc>
      </w:tr>
      <w:tr w14:paraId="23660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38C6107">
            <w:pPr>
              <w:pStyle w:val="1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说明</w:t>
            </w:r>
          </w:p>
        </w:tc>
        <w:tc>
          <w:tcPr>
            <w:tcW w:w="6229" w:type="dxa"/>
            <w:gridSpan w:val="2"/>
          </w:tcPr>
          <w:p w14:paraId="7A815265">
            <w:pPr>
              <w:pStyle w:val="19"/>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打“★”号条款为实质性条款，若有任何一条负偏离或不满足则导致投标无效。 </w:t>
            </w:r>
            <w:r>
              <w:rPr>
                <w:rFonts w:hint="eastAsia" w:ascii="宋体" w:hAnsi="宋体" w:eastAsia="宋体" w:cs="宋体"/>
                <w:color w:val="auto"/>
                <w:sz w:val="20"/>
                <w:szCs w:val="20"/>
                <w:highlight w:val="none"/>
              </w:rPr>
              <w:br w:type="textWrapping"/>
            </w:r>
            <w:r>
              <w:rPr>
                <w:rFonts w:hint="eastAsia" w:ascii="宋体" w:hAnsi="宋体" w:eastAsia="宋体" w:cs="宋体"/>
                <w:color w:val="auto"/>
                <w:sz w:val="20"/>
                <w:szCs w:val="20"/>
                <w:highlight w:val="none"/>
              </w:rPr>
              <w:t>打“▲”号条款为重要技术参数，若有部分“▲”条款未响应或不满足，将导致其响应性评审加重扣分，但不作为无效投标条款。</w:t>
            </w:r>
          </w:p>
        </w:tc>
      </w:tr>
    </w:tbl>
    <w:p w14:paraId="279A4351">
      <w:pPr>
        <w:pStyle w:val="19"/>
        <w:rPr>
          <w:color w:val="auto"/>
          <w:highlight w:val="none"/>
        </w:rPr>
      </w:pPr>
    </w:p>
    <w:p w14:paraId="6D648094">
      <w:pPr>
        <w:rPr>
          <w:rFonts w:hint="eastAsia"/>
          <w:color w:val="auto"/>
          <w:highlight w:val="none"/>
        </w:rPr>
      </w:pPr>
      <w:bookmarkStart w:id="4" w:name="_GoBack"/>
      <w:bookmarkEnd w:id="4"/>
    </w:p>
    <w:sectPr>
      <w:footerReference r:id="rId5" w:type="default"/>
      <w:pgSz w:w="11906" w:h="16838"/>
      <w:pgMar w:top="720" w:right="720" w:bottom="720" w:left="720" w:header="454" w:footer="454"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0DD8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C677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BC677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D0CE9"/>
    <w:rsid w:val="008322BB"/>
    <w:rsid w:val="049727D9"/>
    <w:rsid w:val="04A83AA6"/>
    <w:rsid w:val="07D5273A"/>
    <w:rsid w:val="090B72F2"/>
    <w:rsid w:val="0AEC3153"/>
    <w:rsid w:val="0B226B74"/>
    <w:rsid w:val="0B6947A3"/>
    <w:rsid w:val="0BBE689D"/>
    <w:rsid w:val="0C1069CD"/>
    <w:rsid w:val="0C13795F"/>
    <w:rsid w:val="0C161D3B"/>
    <w:rsid w:val="0DAE2941"/>
    <w:rsid w:val="0EE53289"/>
    <w:rsid w:val="0EFC3B45"/>
    <w:rsid w:val="101E3DAE"/>
    <w:rsid w:val="13433B2C"/>
    <w:rsid w:val="13826402"/>
    <w:rsid w:val="13D749A0"/>
    <w:rsid w:val="14777F31"/>
    <w:rsid w:val="14EB6229"/>
    <w:rsid w:val="14F52C04"/>
    <w:rsid w:val="17400AAE"/>
    <w:rsid w:val="174A5489"/>
    <w:rsid w:val="17B172B6"/>
    <w:rsid w:val="17C3523B"/>
    <w:rsid w:val="1B46065D"/>
    <w:rsid w:val="1B6603B7"/>
    <w:rsid w:val="1BCC0B62"/>
    <w:rsid w:val="1BDB0DA5"/>
    <w:rsid w:val="1C0320AA"/>
    <w:rsid w:val="1D796AC8"/>
    <w:rsid w:val="1E025426"/>
    <w:rsid w:val="1ECB5101"/>
    <w:rsid w:val="1F044C17"/>
    <w:rsid w:val="203B0065"/>
    <w:rsid w:val="20672C08"/>
    <w:rsid w:val="21222FD3"/>
    <w:rsid w:val="22F56BF1"/>
    <w:rsid w:val="233C481F"/>
    <w:rsid w:val="245060A9"/>
    <w:rsid w:val="24B57F51"/>
    <w:rsid w:val="25DC3954"/>
    <w:rsid w:val="260D4251"/>
    <w:rsid w:val="26747E2C"/>
    <w:rsid w:val="277976C4"/>
    <w:rsid w:val="28C72DDD"/>
    <w:rsid w:val="28D15A0A"/>
    <w:rsid w:val="2B6F5066"/>
    <w:rsid w:val="2B830B12"/>
    <w:rsid w:val="2B977B28"/>
    <w:rsid w:val="2D76092E"/>
    <w:rsid w:val="2DBD030B"/>
    <w:rsid w:val="2DE0049D"/>
    <w:rsid w:val="2E6115DE"/>
    <w:rsid w:val="2E9D1C0D"/>
    <w:rsid w:val="2EC67693"/>
    <w:rsid w:val="2FE57FED"/>
    <w:rsid w:val="30182170"/>
    <w:rsid w:val="301937F3"/>
    <w:rsid w:val="31B61C41"/>
    <w:rsid w:val="321626E0"/>
    <w:rsid w:val="32D560F7"/>
    <w:rsid w:val="33833EB7"/>
    <w:rsid w:val="33A8380B"/>
    <w:rsid w:val="33C30645"/>
    <w:rsid w:val="340F5638"/>
    <w:rsid w:val="35066A3B"/>
    <w:rsid w:val="359618BA"/>
    <w:rsid w:val="35F26FC0"/>
    <w:rsid w:val="36E44B5A"/>
    <w:rsid w:val="36EA0D42"/>
    <w:rsid w:val="37357164"/>
    <w:rsid w:val="37EB3CC7"/>
    <w:rsid w:val="38A10829"/>
    <w:rsid w:val="38C457C4"/>
    <w:rsid w:val="38CC18C5"/>
    <w:rsid w:val="39EB26A4"/>
    <w:rsid w:val="3A59760D"/>
    <w:rsid w:val="3AD326E0"/>
    <w:rsid w:val="3AFE1F63"/>
    <w:rsid w:val="3B491430"/>
    <w:rsid w:val="3B581673"/>
    <w:rsid w:val="3C243C4B"/>
    <w:rsid w:val="3C355E58"/>
    <w:rsid w:val="3D271C45"/>
    <w:rsid w:val="3D806841"/>
    <w:rsid w:val="402661E4"/>
    <w:rsid w:val="4134048C"/>
    <w:rsid w:val="415D577B"/>
    <w:rsid w:val="42390B18"/>
    <w:rsid w:val="42D30CCB"/>
    <w:rsid w:val="44D206E8"/>
    <w:rsid w:val="45DE130F"/>
    <w:rsid w:val="46FF32EA"/>
    <w:rsid w:val="48B3438D"/>
    <w:rsid w:val="49357497"/>
    <w:rsid w:val="4A2512BA"/>
    <w:rsid w:val="4D241CFD"/>
    <w:rsid w:val="4D5F2D35"/>
    <w:rsid w:val="4E1F24C4"/>
    <w:rsid w:val="4F035942"/>
    <w:rsid w:val="4FC11A85"/>
    <w:rsid w:val="514562C3"/>
    <w:rsid w:val="52397FF8"/>
    <w:rsid w:val="524E3378"/>
    <w:rsid w:val="53A82F50"/>
    <w:rsid w:val="540A54AC"/>
    <w:rsid w:val="546155E5"/>
    <w:rsid w:val="54905ECA"/>
    <w:rsid w:val="5507618C"/>
    <w:rsid w:val="551B0859"/>
    <w:rsid w:val="5539030F"/>
    <w:rsid w:val="55CC1183"/>
    <w:rsid w:val="55DA38A0"/>
    <w:rsid w:val="55DB13C7"/>
    <w:rsid w:val="55F36710"/>
    <w:rsid w:val="5642624B"/>
    <w:rsid w:val="57460AC2"/>
    <w:rsid w:val="587D1F7A"/>
    <w:rsid w:val="59017396"/>
    <w:rsid w:val="59030A18"/>
    <w:rsid w:val="5BE45927"/>
    <w:rsid w:val="5DD72473"/>
    <w:rsid w:val="5E413D91"/>
    <w:rsid w:val="5E4C1DAF"/>
    <w:rsid w:val="5FB94527"/>
    <w:rsid w:val="606E3563"/>
    <w:rsid w:val="613A1697"/>
    <w:rsid w:val="615D5386"/>
    <w:rsid w:val="619F14FA"/>
    <w:rsid w:val="62F835B8"/>
    <w:rsid w:val="641E2BAA"/>
    <w:rsid w:val="64CE2822"/>
    <w:rsid w:val="65E971E8"/>
    <w:rsid w:val="667C62AE"/>
    <w:rsid w:val="675114E9"/>
    <w:rsid w:val="67654F94"/>
    <w:rsid w:val="68F640F6"/>
    <w:rsid w:val="69C73CE4"/>
    <w:rsid w:val="6A4175F2"/>
    <w:rsid w:val="6A845731"/>
    <w:rsid w:val="6ABC4ECB"/>
    <w:rsid w:val="6B251DCB"/>
    <w:rsid w:val="6B4007B9"/>
    <w:rsid w:val="6B4E646B"/>
    <w:rsid w:val="6BDD77EF"/>
    <w:rsid w:val="6CD52274"/>
    <w:rsid w:val="6D3F3B91"/>
    <w:rsid w:val="6E070B53"/>
    <w:rsid w:val="6EE92007"/>
    <w:rsid w:val="6F255735"/>
    <w:rsid w:val="70626515"/>
    <w:rsid w:val="707B75D6"/>
    <w:rsid w:val="711A1225"/>
    <w:rsid w:val="7128150C"/>
    <w:rsid w:val="715E0D9E"/>
    <w:rsid w:val="71A87F57"/>
    <w:rsid w:val="733F48EB"/>
    <w:rsid w:val="7386076C"/>
    <w:rsid w:val="74213FF1"/>
    <w:rsid w:val="74716D26"/>
    <w:rsid w:val="754601B3"/>
    <w:rsid w:val="758D193E"/>
    <w:rsid w:val="76F31C74"/>
    <w:rsid w:val="78B6564F"/>
    <w:rsid w:val="790A599B"/>
    <w:rsid w:val="79444A09"/>
    <w:rsid w:val="799A6D1F"/>
    <w:rsid w:val="79D2552E"/>
    <w:rsid w:val="7AC027B5"/>
    <w:rsid w:val="7AE71AF0"/>
    <w:rsid w:val="7C5D630B"/>
    <w:rsid w:val="7D796C4C"/>
    <w:rsid w:val="7E1F2F63"/>
    <w:rsid w:val="7F28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widowControl w:val="0"/>
      <w:tabs>
        <w:tab w:val="left" w:pos="840"/>
      </w:tabs>
      <w:adjustRightInd w:val="0"/>
      <w:snapToGrid w:val="0"/>
      <w:spacing w:line="360" w:lineRule="auto"/>
      <w:jc w:val="both"/>
      <w:outlineLvl w:val="0"/>
    </w:pPr>
    <w:rPr>
      <w:rFonts w:ascii="宋体" w:hAnsi="宋体"/>
      <w:b/>
      <w:kern w:val="44"/>
      <w:sz w:val="2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99"/>
    <w:rPr>
      <w:rFonts w:ascii="宋体" w:hAnsi="宋体"/>
      <w:color w:val="0000FF"/>
      <w:sz w:val="28"/>
    </w:rPr>
  </w:style>
  <w:style w:type="paragraph" w:styleId="6">
    <w:name w:val="toc 5"/>
    <w:basedOn w:val="1"/>
    <w:next w:val="1"/>
    <w:unhideWhenUsed/>
    <w:qFormat/>
    <w:uiPriority w:val="39"/>
    <w:pPr>
      <w:spacing w:line="240" w:lineRule="auto"/>
      <w:ind w:left="1680" w:leftChars="800"/>
    </w:pPr>
    <w:rPr>
      <w:rFonts w:asciiTheme="minorHAnsi" w:hAnsiTheme="minorHAnsi" w:eastAsiaTheme="minorEastAsi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szCs w:val="18"/>
    </w:r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basedOn w:val="12"/>
    <w:qFormat/>
    <w:uiPriority w:val="99"/>
    <w:rPr>
      <w:rFonts w:ascii="Tahoma" w:hAnsi="Tahoma" w:eastAsia="宋体" w:cs="Times New Roman"/>
      <w:b/>
      <w:spacing w:val="10"/>
      <w:sz w:val="24"/>
      <w:lang w:val="en-US" w:eastAsia="zh-CN"/>
    </w:rPr>
  </w:style>
  <w:style w:type="character" w:styleId="14">
    <w:name w:val="annotation reference"/>
    <w:basedOn w:val="12"/>
    <w:qFormat/>
    <w:uiPriority w:val="0"/>
    <w:rPr>
      <w:sz w:val="21"/>
      <w:szCs w:val="21"/>
    </w:rPr>
  </w:style>
  <w:style w:type="paragraph" w:customStyle="1" w:styleId="15">
    <w:name w:val="表格文字"/>
    <w:basedOn w:val="1"/>
    <w:qFormat/>
    <w:uiPriority w:val="99"/>
    <w:pPr>
      <w:spacing w:before="25" w:after="25" w:line="300" w:lineRule="auto"/>
    </w:pPr>
    <w:rPr>
      <w:rFonts w:ascii="Times" w:hAnsi="Times"/>
      <w:spacing w:val="10"/>
      <w:sz w:val="24"/>
    </w:rPr>
  </w:style>
  <w:style w:type="character" w:customStyle="1" w:styleId="16">
    <w:name w:val="NormalCharacter"/>
    <w:semiHidden/>
    <w:qFormat/>
    <w:uiPriority w:val="0"/>
    <w:rPr>
      <w:rFonts w:ascii="Calibri" w:hAnsi="Calibri" w:eastAsia="宋体" w:cs="Times New Roman"/>
      <w:kern w:val="2"/>
      <w:sz w:val="21"/>
      <w:szCs w:val="24"/>
      <w:lang w:val="en-US" w:eastAsia="zh-CN" w:bidi="ar-SA"/>
    </w:rPr>
  </w:style>
  <w:style w:type="paragraph" w:customStyle="1" w:styleId="17">
    <w:name w:val="06-sinobest-正文"/>
    <w:basedOn w:val="1"/>
    <w:qFormat/>
    <w:uiPriority w:val="0"/>
    <w:pPr>
      <w:ind w:firstLine="480"/>
    </w:pPr>
    <w:rPr>
      <w:sz w:val="24"/>
    </w:rPr>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paragraph" w:styleId="20">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5306</Words>
  <Characters>5659</Characters>
  <Lines>0</Lines>
  <Paragraphs>0</Paragraphs>
  <TotalTime>0</TotalTime>
  <ScaleCrop>false</ScaleCrop>
  <LinksUpToDate>false</LinksUpToDate>
  <CharactersWithSpaces>5721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2025-11-03T07:02:00Z</dcterms:created>
  <dc:creator>Administrator</dc:creator>
  <cp:lastModifiedBy>代理-立</cp:lastModifiedBy>
  <dcterms:modified xsi:type="dcterms:W3CDTF">2025-11-11T08:06:15Z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eyJoZGlkIjoiMzRiN2ZlNDEzZDJlNzU0YWJkNmMwNmE1NjRjMmYwMTYiLCJ1c2VySWQiOiIxNzMzNDYxNDQ3In0=</vt:lpwstr>
  </property>
  <property fmtid="{D5CDD505-2E9C-101B-9397-08002B2CF9AE}" pid="4" name="ICV">
    <vt:lpwstr>1D85E945A6604BB4B308B5AA36327028_13</vt:lpwstr>
  </property>
</Properties>
</file>